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E8F4EA">
      <w:pPr>
        <w:keepNext w:val="0"/>
        <w:keepLines w:val="0"/>
        <w:pageBreakBefore w:val="0"/>
        <w:widowControl w:val="0"/>
        <w:kinsoku/>
        <w:wordWrap/>
        <w:overflowPunct/>
        <w:topLinePunct w:val="0"/>
        <w:autoSpaceDE/>
        <w:autoSpaceDN/>
        <w:bidi w:val="0"/>
        <w:adjustRightInd/>
        <w:snapToGrid/>
        <w:spacing w:before="158" w:beforeLines="50" w:line="440" w:lineRule="exact"/>
        <w:jc w:val="center"/>
        <w:textAlignment w:val="auto"/>
        <w:outlineLvl w:val="0"/>
        <w:rPr>
          <w:rFonts w:hint="eastAsia" w:ascii="宋体" w:hAnsi="宋体" w:cs="宋体"/>
          <w:b/>
          <w:color w:val="auto"/>
          <w:sz w:val="28"/>
          <w:szCs w:val="28"/>
        </w:rPr>
      </w:pPr>
      <w:bookmarkStart w:id="0" w:name="_Toc30695"/>
      <w:bookmarkStart w:id="1" w:name="_Toc22459"/>
      <w:bookmarkStart w:id="2" w:name="_Toc13963"/>
      <w:r>
        <w:rPr>
          <w:rFonts w:hint="eastAsia" w:ascii="宋体" w:hAnsi="宋体" w:cs="宋体"/>
          <w:b/>
          <w:color w:val="auto"/>
          <w:sz w:val="28"/>
          <w:szCs w:val="28"/>
        </w:rPr>
        <w:t>汕头职业技术学院学生劳动教育实施方案</w:t>
      </w:r>
      <w:bookmarkEnd w:id="0"/>
      <w:bookmarkEnd w:id="1"/>
      <w:bookmarkEnd w:id="2"/>
    </w:p>
    <w:p w14:paraId="7F97229B">
      <w:pPr>
        <w:keepNext w:val="0"/>
        <w:keepLines w:val="0"/>
        <w:pageBreakBefore w:val="0"/>
        <w:widowControl w:val="0"/>
        <w:kinsoku/>
        <w:wordWrap/>
        <w:overflowPunct/>
        <w:topLinePunct w:val="0"/>
        <w:autoSpaceDE/>
        <w:autoSpaceDN/>
        <w:bidi w:val="0"/>
        <w:adjustRightInd/>
        <w:snapToGrid/>
        <w:spacing w:after="160" w:afterLines="50" w:line="440" w:lineRule="exact"/>
        <w:jc w:val="center"/>
        <w:textAlignment w:val="auto"/>
        <w:outlineLvl w:val="1"/>
        <w:rPr>
          <w:rFonts w:hint="eastAsia" w:ascii="宋体" w:hAnsi="宋体" w:cs="宋体"/>
          <w:color w:val="auto"/>
          <w:sz w:val="24"/>
          <w:lang w:eastAsia="zh-CN"/>
        </w:rPr>
      </w:pPr>
      <w:r>
        <w:rPr>
          <w:rFonts w:hint="eastAsia" w:ascii="宋体" w:hAnsi="宋体" w:cs="宋体"/>
          <w:color w:val="auto"/>
          <w:sz w:val="24"/>
          <w:lang w:eastAsia="zh-CN"/>
        </w:rPr>
        <w:t>（汕职院发〔2022〕17号）</w:t>
      </w:r>
    </w:p>
    <w:p w14:paraId="0B63ED79">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为深入贯彻习近平总书记关于教育的重要论述，全面贯彻党的教育方针，落实《中共中央国务院关于全面加强新时代大中小学劳动教育的意见》《广东省教育厅关于进一步推进大中小学劳动教育的通知》《广东省加强学校体育美育劳动教育行动计划》，根据教育部《大中小学劳动教育指导纲要（试行）》，结合我院实际，特制定本方案。</w:t>
      </w:r>
    </w:p>
    <w:p w14:paraId="1B69CFAF">
      <w:pPr>
        <w:pStyle w:val="2"/>
        <w:keepNext w:val="0"/>
        <w:keepLines w:val="0"/>
        <w:pageBreakBefore w:val="0"/>
        <w:widowControl/>
        <w:kinsoku/>
        <w:wordWrap/>
        <w:overflowPunct/>
        <w:topLinePunct w:val="0"/>
        <w:autoSpaceDE/>
        <w:autoSpaceDN/>
        <w:bidi w:val="0"/>
        <w:adjustRightInd/>
        <w:snapToGrid/>
        <w:spacing w:before="0" w:after="0" w:line="440" w:lineRule="exact"/>
        <w:ind w:left="0" w:leftChars="0" w:firstLine="482" w:firstLineChars="200"/>
        <w:textAlignment w:val="auto"/>
        <w:outlineLvl w:val="1"/>
        <w:rPr>
          <w:rFonts w:ascii="宋体" w:hAnsi="宋体" w:cs="宋体"/>
          <w:color w:val="auto"/>
          <w:kern w:val="0"/>
          <w:sz w:val="24"/>
          <w:szCs w:val="24"/>
        </w:rPr>
      </w:pPr>
      <w:bookmarkStart w:id="3" w:name="_Toc11926"/>
      <w:r>
        <w:rPr>
          <w:rFonts w:hint="eastAsia" w:ascii="宋体" w:hAnsi="宋体" w:cs="宋体"/>
          <w:color w:val="auto"/>
          <w:kern w:val="0"/>
          <w:sz w:val="24"/>
          <w:szCs w:val="24"/>
        </w:rPr>
        <w:t>一、总体要求</w:t>
      </w:r>
      <w:bookmarkEnd w:id="3"/>
    </w:p>
    <w:p w14:paraId="1315344B">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 xml:space="preserve">（一）指导思想 </w:t>
      </w:r>
    </w:p>
    <w:p w14:paraId="1529A627">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以习近平新时代中国特色社会主义思想为指导，全面贯彻党的教育方针，落实全国教育大会精神，坚持立德树人，坚持培育和践行社会主义核心价值观，把劳动教育纳入人才培养全过程，以课程教育为主要依托，以实践育人为基本途径，与德育、智育、体育、美育相融合，紧密结合经济社会发展变化和学生生活实际，注重教育实效，实现知行合一，促进学生形成正确的世界观、人生观、价值观，促进学生全面发展。</w:t>
      </w:r>
    </w:p>
    <w:p w14:paraId="778A3E0D">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（二）总体目标</w:t>
      </w:r>
    </w:p>
    <w:p w14:paraId="308A95C3">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劳动教育是大学生成人成才的基础，更是关系到学校立德树人根本任务的实现、国家的发展和民族的未来。为积极引导大学生热爱劳动、勤于劳动、积极劳动，树立正确的劳育观，充分利用现有资源劳动教育课，坚持以劳动观教育和劳动意识的培养为主，结合一定的劳动任务，提高学生的劳动技能，培养学生吃苦耐劳的优秀品质。</w:t>
      </w:r>
    </w:p>
    <w:p w14:paraId="2018B374">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通过劳动教育，使学生理解和形成马克思主义劳动观，牢固树立劳动最光荣、劳动最崇高、劳动最伟大、劳动最美丽的观念；培养学生热爱劳动、尊重普通劳动者、珍惜劳动成果的情感和勤俭、奋斗、创新、奉献的劳动精神；培养学生具备胜任专业工作的劳动实践能力、较强的创新创业能力以及在劳动实践中发现新问题和创造性解决问题的能力；使学生养成良好的劳动习惯。</w:t>
      </w:r>
    </w:p>
    <w:p w14:paraId="3DD51C96">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（三）基本原则</w:t>
      </w:r>
    </w:p>
    <w:p w14:paraId="0FBCDC3E">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sz w:val="24"/>
        </w:rPr>
        <w:t>1.全面发展原则。</w:t>
      </w:r>
      <w:r>
        <w:rPr>
          <w:rFonts w:hint="eastAsia" w:ascii="宋体" w:hAnsi="宋体" w:cs="宋体"/>
          <w:color w:val="auto"/>
          <w:sz w:val="24"/>
        </w:rPr>
        <w:t>坚持以习近平新时代中国特色社会主义思想为指导，理解和形成马克思主义劳动观，着力提升学生综合素质，促进学生全面发展、健康成长，着力培养德、智、体、美、劳全面发展的社会主义建设者和接班人。</w:t>
      </w:r>
    </w:p>
    <w:p w14:paraId="07A2C54F">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sz w:val="24"/>
        </w:rPr>
        <w:t>2.德技并修原则。</w:t>
      </w:r>
      <w:r>
        <w:rPr>
          <w:rFonts w:hint="eastAsia" w:ascii="宋体" w:hAnsi="宋体" w:cs="宋体"/>
          <w:color w:val="auto"/>
          <w:sz w:val="24"/>
        </w:rPr>
        <w:t>把准劳动教育价值取向，引导学生树立正确的劳动观，崇尚劳动、尊重劳动、热爱劳动，增强对劳动人民的感情，报效国家，奉献社会。充分挖掘行业企业、专业特色等可利用资源，开展符合专业特点要求的劳动教育。</w:t>
      </w:r>
    </w:p>
    <w:p w14:paraId="2A64FDAB">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sz w:val="24"/>
        </w:rPr>
        <w:t>3.注重实践原则。</w:t>
      </w:r>
      <w:r>
        <w:rPr>
          <w:rFonts w:hint="eastAsia" w:ascii="宋体" w:hAnsi="宋体" w:cs="宋体"/>
          <w:color w:val="auto"/>
          <w:sz w:val="24"/>
        </w:rPr>
        <w:t>强化实践体验，让学生亲历劳动过程，提升育人实效性。深化产教融合、校企合作，协同育人，改进劳动教育方式，适应科技发展和产业变革，注重新兴技术支撑和社会服务新变化。强化诚实合法劳动意识，培养科学精神，提高创造性劳动能力。</w:t>
      </w:r>
    </w:p>
    <w:p w14:paraId="183AEE53">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b/>
          <w:color w:val="auto"/>
          <w:sz w:val="24"/>
        </w:rPr>
      </w:pPr>
      <w:r>
        <w:rPr>
          <w:rFonts w:hint="eastAsia" w:ascii="宋体" w:hAnsi="宋体" w:cs="宋体"/>
          <w:b/>
          <w:color w:val="auto"/>
          <w:sz w:val="24"/>
        </w:rPr>
        <w:t>二、 组织实施</w:t>
      </w:r>
    </w:p>
    <w:p w14:paraId="600F8B28">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劳动教育实行学校、学系二级管理，相关职能部门予以协助配合的管理模式。</w:t>
      </w:r>
    </w:p>
    <w:p w14:paraId="70151FA5">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kern w:val="0"/>
          <w:sz w:val="24"/>
        </w:rPr>
        <w:t>（一）加强组织领导。</w:t>
      </w:r>
      <w:r>
        <w:rPr>
          <w:rFonts w:hint="eastAsia" w:ascii="宋体" w:hAnsi="宋体" w:cs="宋体"/>
          <w:color w:val="auto"/>
          <w:sz w:val="24"/>
        </w:rPr>
        <w:t>学校成立由分管教育教学工作的校领导任组长、相关职能部门及各学系负责人为成员的大学生劳动教育工作领导小组。在学校党委统一领导下，把劳动教育纳入学生教育的重要范畴，切实解决劳动教育实施过程中的重大问题，明确有关部门加强劳动教育的职责，推动建立全面实施劳动教育的长效机制。</w:t>
      </w:r>
    </w:p>
    <w:p w14:paraId="5B66C7AD">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领导小组下设劳动教育管理中心，挂靠在教务处，负责劳动教育工作的统筹协调、督促落实；制定全校劳动教育实施方案，将劳动教育纳入人才培养方案；指导各学系劳动教育工作的实施。其他职能部门要结合自身职能，为劳动教育提供相应支撑保障。</w:t>
      </w:r>
    </w:p>
    <w:p w14:paraId="15EC969A">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kern w:val="0"/>
          <w:sz w:val="24"/>
        </w:rPr>
        <w:t>（二）强化督导检查。</w:t>
      </w:r>
      <w:r>
        <w:rPr>
          <w:rFonts w:hint="eastAsia" w:ascii="宋体" w:hAnsi="宋体" w:cs="宋体"/>
          <w:color w:val="auto"/>
          <w:sz w:val="24"/>
        </w:rPr>
        <w:t>把劳动教育纳入教育督导体系，完善督导办法。对学校劳动教育开课率、劳动实践组织、教学指导、保障措施等情况进行督导。</w:t>
      </w:r>
    </w:p>
    <w:p w14:paraId="64B3BAAA">
      <w:pPr>
        <w:pageBreakBefore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z w:val="24"/>
        </w:rPr>
      </w:pPr>
      <w:r>
        <w:rPr>
          <w:rFonts w:hint="eastAsia" w:ascii="宋体" w:hAnsi="宋体" w:cs="宋体"/>
          <w:b/>
          <w:color w:val="auto"/>
          <w:kern w:val="0"/>
          <w:sz w:val="24"/>
        </w:rPr>
        <w:t>（三）注重宣传引导。</w:t>
      </w:r>
      <w:r>
        <w:rPr>
          <w:rFonts w:hint="eastAsia" w:ascii="宋体" w:hAnsi="宋体" w:cs="宋体"/>
          <w:color w:val="auto"/>
          <w:sz w:val="24"/>
        </w:rPr>
        <w:t>通过多种渠道，引导家长树立正确劳动观念，支持配合学校开展劳动教育。及时总结学校、家庭、劳动教育实践基地开展劳动教育典型经验并宣传推广，打造劳动教育品牌。遴选一批劳动教育先进集体和个人，发挥示范引领作用。注重挖掘在抗疫救灾、脱贫攻坚等重大事件中涌现的典型人物和事迹，大力宣传不畏艰难、百折不挠、敢于担当的高尚品格。鼓励和支持创作更多以歌颂普通劳动者为主题的优秀作品，大力宣传辛勤劳动、诚实劳动、创造性劳动的典型人物和事迹，弘扬劳动光荣、创造伟大的主旋律，旗帜鲜明地反对一切不劳而获、贪图享乐、崇尚暴富的错误观念。</w:t>
      </w:r>
    </w:p>
    <w:p w14:paraId="0B2EE8FB">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sz w:val="24"/>
        </w:rPr>
        <w:t>三、</w:t>
      </w:r>
      <w:r>
        <w:rPr>
          <w:rFonts w:hint="eastAsia" w:ascii="宋体" w:hAnsi="宋体" w:cs="宋体"/>
          <w:b/>
          <w:bCs/>
          <w:color w:val="auto"/>
          <w:kern w:val="0"/>
          <w:sz w:val="24"/>
        </w:rPr>
        <w:t>具体措施</w:t>
      </w:r>
    </w:p>
    <w:p w14:paraId="0CCB25E5">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(一)加强劳动精神学习宣传</w:t>
      </w:r>
    </w:p>
    <w:p w14:paraId="1BFF1E3E">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sz w:val="24"/>
        </w:rPr>
        <w:t>1.把握劳动精神基本内涵</w:t>
      </w:r>
      <w:r>
        <w:rPr>
          <w:rFonts w:hint="eastAsia" w:ascii="宋体" w:hAnsi="宋体" w:cs="宋体"/>
          <w:color w:val="auto"/>
          <w:sz w:val="24"/>
        </w:rPr>
        <w:t>。通过校内外各类宣传平台，全面开展劳动教育学习宣传活动。各学系通过专题报告、劳模宣讲会、主题班会、主题党团日活动等多种形式，结合时代主题和生动案例提升学习效果，教育学生正确理解马克思主义劳动观，把握劳动精神的实质和内涵，培养学生正确劳动价值观和良好劳动品质，养成勤于劳动、善于劳动、乐于劳动的良好习惯。</w:t>
      </w:r>
    </w:p>
    <w:p w14:paraId="21994800">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sz w:val="24"/>
        </w:rPr>
        <w:t>2.营造劳动教育氛围。</w:t>
      </w:r>
      <w:r>
        <w:rPr>
          <w:rFonts w:hint="eastAsia" w:ascii="宋体" w:hAnsi="宋体" w:cs="宋体"/>
          <w:color w:val="auto"/>
          <w:sz w:val="24"/>
        </w:rPr>
        <w:t>通过在学生的毕业资格审核、各类实践考核、奖励项目评选等环节要求学生有参加劳动教育的经历，增强学生参加劳动教育的积极性。邀请大国工匠、劳动模范进校园开展活动，让学生近距离感受工匠精神和劳模风范。邀请专家进校园开展劳动教育专题讲座，示范指导学生开展劳动活动，教育引导学生形成良好的劳动意识。</w:t>
      </w:r>
    </w:p>
    <w:p w14:paraId="0D54AA15">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(二)构建新时代劳动教育体系</w:t>
      </w:r>
    </w:p>
    <w:p w14:paraId="0E6C8333">
      <w:pPr>
        <w:pageBreakBefore w:val="0"/>
        <w:widowControl/>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bCs/>
          <w:color w:val="auto"/>
          <w:sz w:val="24"/>
        </w:rPr>
        <w:t>1.设置劳动教育课程。</w:t>
      </w:r>
      <w:r>
        <w:rPr>
          <w:rFonts w:hint="eastAsia" w:ascii="宋体" w:hAnsi="宋体" w:cs="宋体"/>
          <w:color w:val="auto"/>
          <w:sz w:val="24"/>
        </w:rPr>
        <w:t>人才培养方案中明确劳动教育内容，</w:t>
      </w:r>
      <w:r>
        <w:rPr>
          <w:rFonts w:hint="eastAsia" w:ascii="宋体" w:hAnsi="宋体" w:cs="宋体"/>
          <w:color w:val="auto"/>
          <w:kern w:val="0"/>
          <w:sz w:val="24"/>
        </w:rPr>
        <w:t>安排在第二或第三学期开课，由各学系统一授课安排。总课时为32学时和2学分。其中，劳动教育理论教学4学时（以讲座形式开出，包括马克思主义劳动观、劳动安全教育和劳动法规等），劳动教育实践活动28学时（在实习实训课中弘扬劳动精神、劳模精神和工匠精神的专题教育不低于16学时）。</w:t>
      </w:r>
    </w:p>
    <w:p w14:paraId="62F02254">
      <w:pPr>
        <w:pageBreakBefore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bCs/>
          <w:color w:val="auto"/>
          <w:kern w:val="0"/>
          <w:sz w:val="24"/>
        </w:rPr>
        <w:t>2.设立学年劳动周。</w:t>
      </w:r>
      <w:r>
        <w:rPr>
          <w:rFonts w:hint="eastAsia" w:ascii="宋体" w:hAnsi="宋体" w:cs="宋体"/>
          <w:color w:val="auto"/>
          <w:kern w:val="0"/>
          <w:sz w:val="24"/>
        </w:rPr>
        <w:t>各学系结合专业实际，根据专业岗位能力素质要求、职业发展需求和教学计划安排，利用寒暑假期间，分层分类，有序组织每个学生在每学年的劳动周里集中开展劳动实践。各教学单位可根据实际需要编写劳动实践指导手册，明确教学目标、活动设计、工具使用、考核评价、安全保护等劳动教育要求。</w:t>
      </w:r>
    </w:p>
    <w:p w14:paraId="3CA2A1D6">
      <w:pPr>
        <w:pageBreakBefore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bCs/>
          <w:color w:val="auto"/>
          <w:kern w:val="0"/>
          <w:sz w:val="24"/>
        </w:rPr>
        <w:t>3.建立校内外劳动教育基地。</w:t>
      </w:r>
      <w:r>
        <w:rPr>
          <w:rFonts w:hint="eastAsia" w:ascii="宋体" w:hAnsi="宋体" w:cs="宋体"/>
          <w:color w:val="auto"/>
          <w:kern w:val="0"/>
          <w:sz w:val="24"/>
        </w:rPr>
        <w:t>整合校内外资源，每个专业群至少建立一个校内外劳动教育实践基地，结合专业识岗、实习岗、顶岗等教学实践活动，每个学生到校内外实践教育基地参加劳动活动1次以上，满足不同专业学生多样化劳动实践需求，增强学生对劳动的体验感受和认知理解。</w:t>
      </w:r>
    </w:p>
    <w:p w14:paraId="71B82A5D">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（1）校内实践</w:t>
      </w:r>
    </w:p>
    <w:p w14:paraId="77BEF1AB">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kern w:val="0"/>
          <w:sz w:val="24"/>
        </w:rPr>
      </w:pPr>
      <w:r>
        <w:rPr>
          <w:rFonts w:hint="eastAsia" w:ascii="宋体" w:hAnsi="宋体" w:cs="宋体"/>
          <w:color w:val="auto"/>
          <w:kern w:val="0"/>
          <w:sz w:val="24"/>
        </w:rPr>
        <w:t>校内实践学段为大一第二学期、大二第一学期、大二第二学期，学生在校内劳动教育实践基地，做一些力所能及的校内劳动如绿地养护、保洁、拔草、施肥、剪枝等，每个学期由各系安排劳动实践课一周。</w:t>
      </w:r>
    </w:p>
    <w:p w14:paraId="2C4D02B8">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sz w:val="24"/>
        </w:rPr>
      </w:pPr>
      <w:r>
        <w:rPr>
          <w:rFonts w:hint="eastAsia" w:ascii="宋体" w:hAnsi="宋体" w:cs="宋体"/>
          <w:b/>
          <w:color w:val="auto"/>
          <w:kern w:val="0"/>
          <w:sz w:val="24"/>
        </w:rPr>
        <w:t>（2）</w:t>
      </w:r>
      <w:r>
        <w:rPr>
          <w:rFonts w:hint="eastAsia" w:ascii="宋体" w:hAnsi="宋体" w:cs="宋体"/>
          <w:b/>
          <w:color w:val="auto"/>
          <w:sz w:val="24"/>
        </w:rPr>
        <w:t>校外实践</w:t>
      </w:r>
    </w:p>
    <w:p w14:paraId="7B2CB807">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kern w:val="0"/>
          <w:sz w:val="24"/>
        </w:rPr>
      </w:pPr>
      <w:r>
        <w:rPr>
          <w:rFonts w:hint="eastAsia" w:ascii="宋体" w:hAnsi="宋体" w:cs="宋体"/>
          <w:color w:val="auto"/>
          <w:sz w:val="24"/>
        </w:rPr>
        <w:t>校</w:t>
      </w:r>
      <w:r>
        <w:rPr>
          <w:rFonts w:hint="eastAsia" w:ascii="宋体" w:hAnsi="宋体" w:cs="宋体"/>
          <w:color w:val="auto"/>
          <w:kern w:val="0"/>
          <w:sz w:val="24"/>
        </w:rPr>
        <w:t>外实践安排在大三第一学期，安排在工厂或者校外劳动教育实践基地参与实训或者劳动，具体安排由各系根据各自不同特点安排适合自己系的实训活动或劳动实践。实训活动或外出劳动实践，要特别注重安全问题，各学系要按学生外出实习实训程序为学生办理保险。</w:t>
      </w:r>
    </w:p>
    <w:p w14:paraId="7336DBA1">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kern w:val="0"/>
          <w:sz w:val="24"/>
        </w:rPr>
        <w:t>4.劳动教育的评价。</w:t>
      </w:r>
      <w:r>
        <w:rPr>
          <w:rFonts w:hint="eastAsia" w:ascii="宋体" w:hAnsi="宋体" w:cs="宋体"/>
          <w:color w:val="auto"/>
          <w:sz w:val="24"/>
        </w:rPr>
        <w:t>各系各班要把劳动教育纳入学生综合素质评价内容：理论课笔试，实践课根据学生个人劳动态度、劳动习惯、劳动技能、劳动质量列出考核内容，进行等级式考评，一般分为优秀、良好、及格、不及格四等。劳动教育评估应坚持实事求是的原则，从学生实际出发，用全面、发展的观点看待学生，防止片面性。通过自评、小组互评与他评等方式实行民主评定，让学生尊重劳动、热爱劳动，拥有劳动技能，体会劳动乐趣。考评时一定要实事求是、客观公正。凡弄虚作假者，按教学管理规定处理。</w:t>
      </w:r>
    </w:p>
    <w:p w14:paraId="44EC8638">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sz w:val="24"/>
        </w:rPr>
        <w:t>5.树立劳动教育典型案例。</w:t>
      </w:r>
      <w:r>
        <w:rPr>
          <w:rFonts w:hint="eastAsia" w:ascii="宋体" w:hAnsi="宋体" w:cs="宋体"/>
          <w:color w:val="auto"/>
          <w:sz w:val="24"/>
        </w:rPr>
        <w:t>以“五一”国际劳动节主题活动、学雷锋活动、“技能之星”、劳动实践“服务模范”评选等为抓手，每个专业群每年至少组织开展劳动技能和劳动成果展示等活动1次，选一批优秀典型，对劳动表现突出的学生予以表扬，并作为评优评先的参考依据。</w:t>
      </w:r>
    </w:p>
    <w:p w14:paraId="48D27CE0">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（三）广泛开展劳动教育实践活动</w:t>
      </w:r>
    </w:p>
    <w:p w14:paraId="00B4999C">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sz w:val="24"/>
        </w:rPr>
        <w:t>1.广泛开展日常生活劳动教育。</w:t>
      </w:r>
      <w:r>
        <w:rPr>
          <w:rFonts w:hint="eastAsia" w:ascii="宋体" w:hAnsi="宋体" w:cs="宋体"/>
          <w:color w:val="auto"/>
          <w:sz w:val="24"/>
        </w:rPr>
        <w:t>以“服务育人”为载体加强学生日常生活劳动教育。设立家庭生活服务岗，以班级团建为载体，每个学生每学期必须参加1项倡导回归家庭式开展清洁、美化、烹饪等家务劳动，在孝道文化中传承劳动精神，培养学生掌握日常生活劳动技能和形成良好行为习惯。</w:t>
      </w:r>
    </w:p>
    <w:p w14:paraId="62EF889A">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sz w:val="24"/>
        </w:rPr>
        <w:t>2.深入开展专业生产劳动实践。</w:t>
      </w:r>
      <w:r>
        <w:rPr>
          <w:rFonts w:hint="eastAsia" w:ascii="宋体" w:hAnsi="宋体" w:cs="宋体"/>
          <w:color w:val="auto"/>
          <w:sz w:val="24"/>
        </w:rPr>
        <w:t>围绕专业特色，积极打造“专业+劳动实践”“创新创业+劳动实践”。设立专业技术服务岗，每个专业群每年至少开展2次，以社团、项目化志愿服务团队为载体，进入社区、公共开放场馆、敬老院等提供电子信息产品的检测、维修和保养等服务,提升劳动技能。设立礼仪示范服务岗，每个专业群每年至少开展1次，依托院学生礼仪协会，为学院大型对外会展、赛事承办、研讨会议、接待参观等活动提供服务，在礼仪实践中彰显劳动价值。同时与“职业技能大赛”“互联网+”“创青春”等创新创业赛事深度融合，积累职业经验，提升就业创业能力。</w:t>
      </w:r>
    </w:p>
    <w:p w14:paraId="05A503EF">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bCs/>
          <w:color w:val="auto"/>
          <w:sz w:val="24"/>
        </w:rPr>
        <w:t>3.积极开展服务性劳动实践</w:t>
      </w:r>
      <w:r>
        <w:rPr>
          <w:rFonts w:hint="eastAsia" w:ascii="宋体" w:hAnsi="宋体" w:cs="宋体"/>
          <w:color w:val="auto"/>
          <w:sz w:val="24"/>
        </w:rPr>
        <w:t>。结合志愿服务进社区、车站、养老公寓以及“返家乡”社会实践、“三下乡”志愿服务等各级各类项目平台，开展“公益微课堂”“手绘乡村”“益青春·助环保”“一日义工”等劳动实践专项活动，通过技术技能服务，公益活动实践、环保知识宣传等方式，引领在校青年崇尚劳动、尊重劳动、热爱劳动，促进学生德智体美劳全面发展。设立校园文明服务岗，以企业管理7S要求为标准，开展校园文明管理，在阅览室、宿舍开放区、实验实训室、公共会议室进行清洁整理、安全维护，涵养劳动素养。设立绿色生态服务岗，在宿舍设立责任区，以共享发展为理念，参与垃圾分类、卫生清理、城市清洁、公益服务等活动，在践行环保中转变劳动观念。</w:t>
      </w:r>
    </w:p>
    <w:p w14:paraId="35B87E56">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（四）加强劳动教育研究</w:t>
      </w:r>
    </w:p>
    <w:p w14:paraId="59EE401E">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1．鼓励和支持学院广大教师多种形式开展劳动教育的研究与实践，逐步建立具有汕职特色的劳动教育研究体系。</w:t>
      </w:r>
    </w:p>
    <w:p w14:paraId="55BE9F5A">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将劳动教育专项课题研究纳入院级教改教研课题。学生处负责落实开展学生劳动教育养成习惯、素养、管理的研究课题。教务处负责落实学生劳动教育教学开展、管理的研究课题。每个学系结合产业需求和专业特点，开展劳动教育的理论研究和实践研究，聚焦劳动教育开展的热点、重点和难点，着力解决劳动教育的瓶颈问题，组织编写劳动精神、劳模精神、工匠精神等专题读本，组织研发展示劳动过程、劳动安全要求的数字资源，梳理遴选来自教学一线的典型案例和鲜活经验，形成分学段、分专题的劳动教育课程资源包，促进优质资源的共享与使用。</w:t>
      </w:r>
    </w:p>
    <w:p w14:paraId="457B793D">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（五）需要注意事项</w:t>
      </w:r>
    </w:p>
    <w:p w14:paraId="630988A2">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1.劳动教育不能流于形式，要从理论到实践、校内到校外、生活到学习、工作等多个方面培养学生的劳动观念、劳动态度，养成良好的劳动习惯。</w:t>
      </w:r>
    </w:p>
    <w:p w14:paraId="053FFDFD">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lang w:val="en"/>
        </w:rPr>
      </w:pPr>
      <w:r>
        <w:rPr>
          <w:rFonts w:hint="eastAsia" w:ascii="宋体" w:hAnsi="宋体" w:cs="宋体"/>
          <w:color w:val="auto"/>
          <w:sz w:val="24"/>
        </w:rPr>
        <w:t>2.劳动教育一定要触及学生的灵魂：让学生从思想上认识</w:t>
      </w:r>
      <w:r>
        <w:rPr>
          <w:rFonts w:hint="eastAsia" w:ascii="宋体" w:hAnsi="宋体" w:cs="宋体"/>
          <w:color w:val="auto"/>
          <w:sz w:val="24"/>
          <w:lang w:val="en"/>
        </w:rPr>
        <w:t>劳动光荣的理念，我要热爱劳动；行动上要做到我会劳动，我能为社会创造价值。</w:t>
      </w:r>
    </w:p>
    <w:p w14:paraId="10BF4EA8">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sz w:val="24"/>
        </w:rPr>
      </w:pPr>
      <w:r>
        <w:rPr>
          <w:rFonts w:hint="eastAsia" w:ascii="宋体" w:hAnsi="宋体" w:cs="宋体"/>
          <w:b/>
          <w:color w:val="auto"/>
          <w:sz w:val="24"/>
        </w:rPr>
        <w:t>四、保障措施</w:t>
      </w:r>
    </w:p>
    <w:p w14:paraId="4F123AC6">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kern w:val="0"/>
          <w:sz w:val="24"/>
        </w:rPr>
        <w:t>（一）场地保障。</w:t>
      </w:r>
      <w:r>
        <w:rPr>
          <w:rFonts w:hint="eastAsia" w:ascii="宋体" w:hAnsi="宋体" w:cs="宋体"/>
          <w:color w:val="auto"/>
          <w:sz w:val="24"/>
        </w:rPr>
        <w:t>要充分发挥专业优势和服务社会功能，积极探索建立相对稳定的实习和劳动实践基地。</w:t>
      </w:r>
    </w:p>
    <w:p w14:paraId="2D932CF1">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rPr>
      </w:pPr>
      <w:r>
        <w:rPr>
          <w:rFonts w:hint="eastAsia" w:ascii="宋体" w:hAnsi="宋体" w:cs="宋体"/>
          <w:b/>
          <w:color w:val="auto"/>
          <w:kern w:val="0"/>
          <w:sz w:val="24"/>
        </w:rPr>
        <w:t>（二）师资保障</w:t>
      </w:r>
    </w:p>
    <w:p w14:paraId="76FAA278">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1）加强教师队伍建设。建立专兼职相结合的劳动教育师资队伍，鼓励各学系根据专业特点聘请具有实践经验的社会专业技术人员、劳动模范等担任兼职劳动教育课教师。探索建立与其他学校的劳动教育师资交流共享机制，兼职承担劳动教育教学任务。</w:t>
      </w:r>
    </w:p>
    <w:p w14:paraId="0E4CCE51">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2）健全教师激励机制。建立健全工作考核体系，分类完善评价标准等方面的制度，保障劳动教育课教师在绩效考核、职称评审、评优评先、专业发展等方面与其他专任教师享受同等待遇。按照相关规定，落实学校外聘劳动教育人员待遇，合理取酬。注重宣传优秀劳动教育课教师。</w:t>
      </w:r>
    </w:p>
    <w:p w14:paraId="429B5BA1">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（3）加大培养培训力度。把劳动教育纳入教师培训内容，开展全员培训，强化每位教师的劳动意识和劳动观念，提升实施劳动教育的自觉性。</w:t>
      </w:r>
    </w:p>
    <w:p w14:paraId="642C633A">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kern w:val="0"/>
          <w:sz w:val="24"/>
        </w:rPr>
        <w:t>（三）经费保障。</w:t>
      </w:r>
      <w:r>
        <w:rPr>
          <w:rFonts w:hint="eastAsia" w:ascii="宋体" w:hAnsi="宋体" w:cs="宋体"/>
          <w:color w:val="auto"/>
          <w:sz w:val="24"/>
        </w:rPr>
        <w:t>将劳动教育经费纳入学校年度预算，为劳动教育课程、实践、设施、场所、耗材补充、校外劳动教育实践基地等提供必要经费支持。</w:t>
      </w:r>
    </w:p>
    <w:p w14:paraId="62DAC21B">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color w:val="auto"/>
          <w:sz w:val="24"/>
        </w:rPr>
      </w:pPr>
      <w:r>
        <w:rPr>
          <w:rFonts w:hint="eastAsia" w:ascii="宋体" w:hAnsi="宋体" w:cs="宋体"/>
          <w:b/>
          <w:color w:val="auto"/>
          <w:kern w:val="0"/>
          <w:sz w:val="24"/>
        </w:rPr>
        <w:t>（四）安全保障。</w:t>
      </w:r>
      <w:r>
        <w:rPr>
          <w:rFonts w:hint="eastAsia" w:ascii="宋体" w:hAnsi="宋体" w:cs="宋体"/>
          <w:color w:val="auto"/>
          <w:sz w:val="24"/>
        </w:rPr>
        <w:t>加强对师生的劳动安全教育，强化劳动风险意识，建立健全安全教育与管理并重的劳动安全保障体系。组织专家定期评估各类劳动实践活动安全风险，认真排查、消除劳动实践各种隐患特别是辐射、疾病传染等。制定安全科学的操作规范，强化对劳动过程中每个岗位的管理，明确各方责任。制定劳动实践活动风险防控预案，建立应急与事故处理机制。</w:t>
      </w:r>
    </w:p>
    <w:p w14:paraId="54587306">
      <w:pPr>
        <w:keepNext w:val="0"/>
        <w:keepLines w:val="0"/>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kern w:val="0"/>
          <w:sz w:val="24"/>
          <w:lang w:val="en"/>
        </w:rPr>
      </w:pPr>
      <w:r>
        <w:rPr>
          <w:rFonts w:hint="eastAsia" w:ascii="宋体" w:hAnsi="宋体" w:cs="宋体"/>
          <w:b/>
          <w:color w:val="auto"/>
          <w:kern w:val="0"/>
          <w:sz w:val="24"/>
          <w:lang w:val="en"/>
        </w:rPr>
        <w:t>五、附则</w:t>
      </w:r>
    </w:p>
    <w:p w14:paraId="259A404E">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sz w:val="24"/>
          <w:lang w:val="en"/>
        </w:rPr>
      </w:pPr>
      <w:r>
        <w:rPr>
          <w:rFonts w:hint="eastAsia" w:ascii="宋体" w:hAnsi="宋体" w:cs="宋体"/>
          <w:b/>
          <w:color w:val="auto"/>
          <w:sz w:val="24"/>
        </w:rPr>
        <w:t>(一）</w:t>
      </w:r>
      <w:r>
        <w:rPr>
          <w:rFonts w:hint="eastAsia" w:ascii="宋体" w:hAnsi="宋体" w:cs="宋体"/>
          <w:b/>
          <w:color w:val="auto"/>
          <w:sz w:val="24"/>
          <w:lang w:val="en"/>
        </w:rPr>
        <w:t>未尽事项由教务处与各系研究确定。</w:t>
      </w:r>
    </w:p>
    <w:p w14:paraId="020A0508">
      <w:pPr>
        <w:pageBreakBefore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color w:val="auto"/>
          <w:sz w:val="24"/>
          <w:lang w:val="en"/>
        </w:rPr>
      </w:pPr>
      <w:r>
        <w:rPr>
          <w:rFonts w:hint="eastAsia" w:ascii="宋体" w:hAnsi="宋体" w:cs="宋体"/>
          <w:b/>
          <w:color w:val="auto"/>
          <w:sz w:val="24"/>
        </w:rPr>
        <w:t>(二）</w:t>
      </w:r>
      <w:r>
        <w:rPr>
          <w:rFonts w:hint="eastAsia" w:ascii="宋体" w:hAnsi="宋体" w:cs="宋体"/>
          <w:b/>
          <w:color w:val="auto"/>
          <w:sz w:val="24"/>
          <w:lang w:val="en"/>
        </w:rPr>
        <w:t>本方案自公布之日起施行。</w:t>
      </w:r>
    </w:p>
    <w:p w14:paraId="4DDFB3E2">
      <w:pPr>
        <w:pStyle w:val="4"/>
        <w:pageBreakBefore w:val="0"/>
        <w:kinsoku/>
        <w:wordWrap/>
        <w:overflowPunct/>
        <w:topLinePunct w:val="0"/>
        <w:autoSpaceDE/>
        <w:autoSpaceDN/>
        <w:bidi w:val="0"/>
        <w:adjustRightInd/>
        <w:snapToGrid/>
        <w:ind w:firstLine="210"/>
        <w:textAlignment w:val="auto"/>
        <w:outlineLvl w:val="1"/>
        <w:rPr>
          <w:color w:val="auto"/>
          <w:lang w:val="en"/>
        </w:rPr>
      </w:pPr>
    </w:p>
    <w:p w14:paraId="40486EB0">
      <w:pPr>
        <w:pageBreakBefore w:val="0"/>
        <w:kinsoku/>
        <w:wordWrap/>
        <w:overflowPunct/>
        <w:topLinePunct w:val="0"/>
        <w:autoSpaceDE/>
        <w:autoSpaceDN/>
        <w:bidi w:val="0"/>
        <w:adjustRightInd/>
        <w:snapToGrid/>
        <w:spacing w:line="440" w:lineRule="exact"/>
        <w:jc w:val="left"/>
        <w:textAlignment w:val="auto"/>
        <w:outlineLvl w:val="1"/>
        <w:rPr>
          <w:rFonts w:ascii="宋体" w:hAnsi="宋体" w:cs="宋体"/>
          <w:b/>
          <w:color w:val="auto"/>
          <w:kern w:val="0"/>
          <w:sz w:val="24"/>
          <w:lang w:val="en"/>
        </w:rPr>
      </w:pPr>
      <w:r>
        <w:rPr>
          <w:rFonts w:hint="eastAsia" w:ascii="宋体" w:hAnsi="宋体" w:cs="宋体"/>
          <w:b/>
          <w:color w:val="auto"/>
          <w:kern w:val="0"/>
          <w:sz w:val="24"/>
          <w:lang w:val="en"/>
        </w:rPr>
        <w:t>附件1：</w:t>
      </w:r>
    </w:p>
    <w:p w14:paraId="0989A408">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b/>
          <w:color w:val="auto"/>
          <w:kern w:val="0"/>
          <w:sz w:val="24"/>
          <w:lang w:val="en"/>
        </w:rPr>
      </w:pPr>
      <w:r>
        <w:rPr>
          <w:rFonts w:hint="eastAsia" w:ascii="宋体" w:hAnsi="宋体" w:cs="宋体"/>
          <w:b/>
          <w:color w:val="auto"/>
          <w:kern w:val="0"/>
          <w:sz w:val="24"/>
          <w:lang w:val="en"/>
        </w:rPr>
        <w:t>汕头职业技术学院劳动教育工作任务清单</w:t>
      </w:r>
    </w:p>
    <w:p w14:paraId="2C5A7A0F">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p>
    <w:tbl>
      <w:tblPr>
        <w:tblStyle w:val="5"/>
        <w:tblW w:w="9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2410"/>
        <w:gridCol w:w="4281"/>
        <w:gridCol w:w="2192"/>
      </w:tblGrid>
      <w:tr w14:paraId="70826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823" w:type="dxa"/>
            <w:tcBorders>
              <w:top w:val="single" w:color="auto" w:sz="4" w:space="0"/>
              <w:left w:val="single" w:color="auto" w:sz="4" w:space="0"/>
              <w:bottom w:val="single" w:color="auto" w:sz="4" w:space="0"/>
              <w:right w:val="single" w:color="auto" w:sz="4" w:space="0"/>
            </w:tcBorders>
            <w:vAlign w:val="center"/>
          </w:tcPr>
          <w:p w14:paraId="6781AA8B">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b/>
                <w:color w:val="auto"/>
                <w:sz w:val="24"/>
              </w:rPr>
            </w:pPr>
            <w:r>
              <w:rPr>
                <w:rFonts w:hint="eastAsia" w:ascii="宋体" w:hAnsi="宋体" w:cs="宋体"/>
                <w:b/>
                <w:color w:val="auto"/>
                <w:sz w:val="24"/>
              </w:rPr>
              <w:t>条目</w:t>
            </w:r>
          </w:p>
        </w:tc>
        <w:tc>
          <w:tcPr>
            <w:tcW w:w="2410" w:type="dxa"/>
            <w:tcBorders>
              <w:top w:val="single" w:color="auto" w:sz="4" w:space="0"/>
              <w:left w:val="single" w:color="auto" w:sz="4" w:space="0"/>
              <w:bottom w:val="single" w:color="auto" w:sz="4" w:space="0"/>
              <w:right w:val="single" w:color="auto" w:sz="4" w:space="0"/>
            </w:tcBorders>
            <w:vAlign w:val="center"/>
          </w:tcPr>
          <w:p w14:paraId="684EF92A">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b/>
                <w:color w:val="auto"/>
                <w:sz w:val="24"/>
              </w:rPr>
            </w:pPr>
            <w:r>
              <w:rPr>
                <w:rFonts w:hint="eastAsia" w:ascii="宋体" w:hAnsi="宋体" w:cs="宋体"/>
                <w:b/>
                <w:color w:val="auto"/>
                <w:sz w:val="24"/>
              </w:rPr>
              <w:t>工作任务</w:t>
            </w:r>
          </w:p>
        </w:tc>
        <w:tc>
          <w:tcPr>
            <w:tcW w:w="4281" w:type="dxa"/>
            <w:tcBorders>
              <w:top w:val="single" w:color="auto" w:sz="4" w:space="0"/>
              <w:left w:val="single" w:color="auto" w:sz="4" w:space="0"/>
              <w:bottom w:val="single" w:color="auto" w:sz="4" w:space="0"/>
              <w:right w:val="single" w:color="auto" w:sz="4" w:space="0"/>
            </w:tcBorders>
            <w:vAlign w:val="center"/>
          </w:tcPr>
          <w:p w14:paraId="2B4F8FA8">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b/>
                <w:color w:val="auto"/>
                <w:sz w:val="24"/>
              </w:rPr>
            </w:pPr>
            <w:r>
              <w:rPr>
                <w:rFonts w:hint="eastAsia" w:ascii="宋体" w:hAnsi="宋体" w:cs="宋体"/>
                <w:b/>
                <w:color w:val="auto"/>
                <w:sz w:val="24"/>
              </w:rPr>
              <w:t>具体措施</w:t>
            </w:r>
          </w:p>
        </w:tc>
        <w:tc>
          <w:tcPr>
            <w:tcW w:w="2192" w:type="dxa"/>
            <w:tcBorders>
              <w:top w:val="single" w:color="auto" w:sz="4" w:space="0"/>
              <w:left w:val="single" w:color="auto" w:sz="4" w:space="0"/>
              <w:bottom w:val="single" w:color="auto" w:sz="4" w:space="0"/>
              <w:right w:val="single" w:color="auto" w:sz="4" w:space="0"/>
            </w:tcBorders>
            <w:vAlign w:val="center"/>
          </w:tcPr>
          <w:p w14:paraId="6834273B">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b/>
                <w:color w:val="auto"/>
                <w:sz w:val="24"/>
              </w:rPr>
            </w:pPr>
            <w:r>
              <w:rPr>
                <w:rFonts w:hint="eastAsia" w:ascii="宋体" w:hAnsi="宋体" w:cs="宋体"/>
                <w:b/>
                <w:color w:val="auto"/>
                <w:sz w:val="24"/>
              </w:rPr>
              <w:t>责任单位</w:t>
            </w:r>
          </w:p>
        </w:tc>
      </w:tr>
      <w:tr w14:paraId="1A26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15606BB4">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一</w:t>
            </w:r>
          </w:p>
        </w:tc>
        <w:tc>
          <w:tcPr>
            <w:tcW w:w="2410" w:type="dxa"/>
            <w:tcBorders>
              <w:top w:val="single" w:color="auto" w:sz="4" w:space="0"/>
              <w:left w:val="single" w:color="auto" w:sz="4" w:space="0"/>
              <w:bottom w:val="single" w:color="auto" w:sz="4" w:space="0"/>
              <w:right w:val="single" w:color="auto" w:sz="4" w:space="0"/>
            </w:tcBorders>
            <w:vAlign w:val="center"/>
          </w:tcPr>
          <w:p w14:paraId="7A63E5CC">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切实落实领导责任</w:t>
            </w:r>
          </w:p>
        </w:tc>
        <w:tc>
          <w:tcPr>
            <w:tcW w:w="4281" w:type="dxa"/>
            <w:tcBorders>
              <w:top w:val="single" w:color="auto" w:sz="4" w:space="0"/>
              <w:left w:val="single" w:color="auto" w:sz="4" w:space="0"/>
              <w:bottom w:val="single" w:color="auto" w:sz="4" w:space="0"/>
              <w:right w:val="single" w:color="auto" w:sz="4" w:space="0"/>
            </w:tcBorders>
            <w:vAlign w:val="center"/>
          </w:tcPr>
          <w:p w14:paraId="3E53E69B">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定期召开专题会议、定期开展教学状态评估，定期公布相关信息。</w:t>
            </w:r>
          </w:p>
        </w:tc>
        <w:tc>
          <w:tcPr>
            <w:tcW w:w="2192" w:type="dxa"/>
            <w:tcBorders>
              <w:top w:val="single" w:color="auto" w:sz="4" w:space="0"/>
              <w:left w:val="single" w:color="auto" w:sz="4" w:space="0"/>
              <w:bottom w:val="single" w:color="auto" w:sz="4" w:space="0"/>
              <w:right w:val="single" w:color="auto" w:sz="4" w:space="0"/>
            </w:tcBorders>
            <w:vAlign w:val="center"/>
          </w:tcPr>
          <w:p w14:paraId="16CA07AB">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党办、院办、教学督导室、教务处、学生处、各学系</w:t>
            </w:r>
          </w:p>
        </w:tc>
      </w:tr>
      <w:tr w14:paraId="785EC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48DEB75A">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二</w:t>
            </w:r>
          </w:p>
        </w:tc>
        <w:tc>
          <w:tcPr>
            <w:tcW w:w="2410" w:type="dxa"/>
            <w:tcBorders>
              <w:top w:val="single" w:color="auto" w:sz="4" w:space="0"/>
              <w:left w:val="single" w:color="auto" w:sz="4" w:space="0"/>
              <w:bottom w:val="single" w:color="auto" w:sz="4" w:space="0"/>
              <w:right w:val="single" w:color="auto" w:sz="4" w:space="0"/>
            </w:tcBorders>
            <w:vAlign w:val="center"/>
          </w:tcPr>
          <w:p w14:paraId="40310C85">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把劳动教育纳入人才培养方案</w:t>
            </w:r>
          </w:p>
        </w:tc>
        <w:tc>
          <w:tcPr>
            <w:tcW w:w="4281" w:type="dxa"/>
            <w:tcBorders>
              <w:top w:val="single" w:color="auto" w:sz="4" w:space="0"/>
              <w:left w:val="single" w:color="auto" w:sz="4" w:space="0"/>
              <w:bottom w:val="single" w:color="auto" w:sz="4" w:space="0"/>
              <w:right w:val="single" w:color="auto" w:sz="4" w:space="0"/>
            </w:tcBorders>
            <w:vAlign w:val="center"/>
          </w:tcPr>
          <w:p w14:paraId="06B7B138">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制定劳动教育课程开课方案并组织实施</w:t>
            </w:r>
          </w:p>
        </w:tc>
        <w:tc>
          <w:tcPr>
            <w:tcW w:w="2192" w:type="dxa"/>
            <w:tcBorders>
              <w:top w:val="single" w:color="auto" w:sz="4" w:space="0"/>
              <w:left w:val="single" w:color="auto" w:sz="4" w:space="0"/>
              <w:bottom w:val="single" w:color="auto" w:sz="4" w:space="0"/>
              <w:right w:val="single" w:color="auto" w:sz="4" w:space="0"/>
            </w:tcBorders>
            <w:vAlign w:val="center"/>
          </w:tcPr>
          <w:p w14:paraId="4D9CA1FC">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教务处、各学系</w:t>
            </w:r>
          </w:p>
        </w:tc>
      </w:tr>
      <w:tr w14:paraId="45FBE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4235910F">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三</w:t>
            </w:r>
          </w:p>
        </w:tc>
        <w:tc>
          <w:tcPr>
            <w:tcW w:w="2410" w:type="dxa"/>
            <w:tcBorders>
              <w:top w:val="single" w:color="auto" w:sz="4" w:space="0"/>
              <w:left w:val="single" w:color="auto" w:sz="4" w:space="0"/>
              <w:bottom w:val="single" w:color="auto" w:sz="4" w:space="0"/>
              <w:right w:val="single" w:color="auto" w:sz="4" w:space="0"/>
            </w:tcBorders>
            <w:vAlign w:val="center"/>
          </w:tcPr>
          <w:p w14:paraId="3991C74F">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《劳动教育I》课程校外实践的开展及考核</w:t>
            </w:r>
          </w:p>
        </w:tc>
        <w:tc>
          <w:tcPr>
            <w:tcW w:w="4281" w:type="dxa"/>
            <w:tcBorders>
              <w:top w:val="single" w:color="auto" w:sz="4" w:space="0"/>
              <w:left w:val="single" w:color="auto" w:sz="4" w:space="0"/>
              <w:bottom w:val="single" w:color="auto" w:sz="4" w:space="0"/>
              <w:right w:val="single" w:color="auto" w:sz="4" w:space="0"/>
            </w:tcBorders>
            <w:vAlign w:val="center"/>
          </w:tcPr>
          <w:p w14:paraId="4072BF03">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由学生处会同各学系及相关部门，结合《汕头职业技术学院学生劳动教育实施方案》，采取集体劳动、校外实习、志愿者服务和三下乡等多种形式进行。</w:t>
            </w:r>
          </w:p>
        </w:tc>
        <w:tc>
          <w:tcPr>
            <w:tcW w:w="2192" w:type="dxa"/>
            <w:tcBorders>
              <w:top w:val="single" w:color="auto" w:sz="4" w:space="0"/>
              <w:left w:val="single" w:color="auto" w:sz="4" w:space="0"/>
              <w:bottom w:val="single" w:color="auto" w:sz="4" w:space="0"/>
              <w:right w:val="single" w:color="auto" w:sz="4" w:space="0"/>
            </w:tcBorders>
            <w:vAlign w:val="center"/>
          </w:tcPr>
          <w:p w14:paraId="3D3D868F">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学生处、各学系、技能实训中心等</w:t>
            </w:r>
          </w:p>
        </w:tc>
      </w:tr>
      <w:tr w14:paraId="7192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2A788C0E">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四</w:t>
            </w:r>
          </w:p>
        </w:tc>
        <w:tc>
          <w:tcPr>
            <w:tcW w:w="2410" w:type="dxa"/>
            <w:tcBorders>
              <w:top w:val="single" w:color="auto" w:sz="4" w:space="0"/>
              <w:left w:val="single" w:color="auto" w:sz="4" w:space="0"/>
              <w:bottom w:val="single" w:color="auto" w:sz="4" w:space="0"/>
              <w:right w:val="single" w:color="auto" w:sz="4" w:space="0"/>
            </w:tcBorders>
            <w:vAlign w:val="center"/>
          </w:tcPr>
          <w:p w14:paraId="3CDCF8AD">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《劳动教育》校内实践课程开展及考核</w:t>
            </w:r>
          </w:p>
        </w:tc>
        <w:tc>
          <w:tcPr>
            <w:tcW w:w="4281" w:type="dxa"/>
            <w:tcBorders>
              <w:top w:val="single" w:color="auto" w:sz="4" w:space="0"/>
              <w:left w:val="single" w:color="auto" w:sz="4" w:space="0"/>
              <w:bottom w:val="single" w:color="auto" w:sz="4" w:space="0"/>
              <w:right w:val="single" w:color="auto" w:sz="4" w:space="0"/>
            </w:tcBorders>
            <w:vAlign w:val="center"/>
          </w:tcPr>
          <w:p w14:paraId="0CEF388C">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由各学系结合创新创业、专业实验、实习或实训、宿舍卫生评比、创文活动等进行，学系结合自身情况制定详细的开课方案。</w:t>
            </w:r>
          </w:p>
        </w:tc>
        <w:tc>
          <w:tcPr>
            <w:tcW w:w="2192" w:type="dxa"/>
            <w:tcBorders>
              <w:top w:val="single" w:color="auto" w:sz="4" w:space="0"/>
              <w:left w:val="single" w:color="auto" w:sz="4" w:space="0"/>
              <w:bottom w:val="single" w:color="auto" w:sz="4" w:space="0"/>
              <w:right w:val="single" w:color="auto" w:sz="4" w:space="0"/>
            </w:tcBorders>
            <w:vAlign w:val="center"/>
          </w:tcPr>
          <w:p w14:paraId="7210DBDC">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各学系、总务处、技能实训中心等</w:t>
            </w:r>
          </w:p>
        </w:tc>
      </w:tr>
      <w:tr w14:paraId="01A74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3A52F3B0">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五</w:t>
            </w:r>
          </w:p>
        </w:tc>
        <w:tc>
          <w:tcPr>
            <w:tcW w:w="2410" w:type="dxa"/>
            <w:tcBorders>
              <w:top w:val="single" w:color="auto" w:sz="4" w:space="0"/>
              <w:left w:val="single" w:color="auto" w:sz="4" w:space="0"/>
              <w:bottom w:val="single" w:color="auto" w:sz="4" w:space="0"/>
              <w:right w:val="single" w:color="auto" w:sz="4" w:space="0"/>
            </w:tcBorders>
            <w:vAlign w:val="center"/>
          </w:tcPr>
          <w:p w14:paraId="4BA77FA3">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强化马克思主义劳动观教育</w:t>
            </w:r>
          </w:p>
        </w:tc>
        <w:tc>
          <w:tcPr>
            <w:tcW w:w="4281" w:type="dxa"/>
            <w:tcBorders>
              <w:top w:val="single" w:color="auto" w:sz="4" w:space="0"/>
              <w:left w:val="single" w:color="auto" w:sz="4" w:space="0"/>
              <w:bottom w:val="single" w:color="auto" w:sz="4" w:space="0"/>
              <w:right w:val="single" w:color="auto" w:sz="4" w:space="0"/>
            </w:tcBorders>
            <w:vAlign w:val="center"/>
          </w:tcPr>
          <w:p w14:paraId="34CF843F">
            <w:pPr>
              <w:pageBreakBefore w:val="0"/>
              <w:tabs>
                <w:tab w:val="left" w:pos="1200"/>
              </w:tabs>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在公共必修课中，要进一步强化马克思主义劳动观教育、劳动相关法律法规与政策教育。</w:t>
            </w:r>
          </w:p>
        </w:tc>
        <w:tc>
          <w:tcPr>
            <w:tcW w:w="2192" w:type="dxa"/>
            <w:tcBorders>
              <w:top w:val="single" w:color="auto" w:sz="4" w:space="0"/>
              <w:left w:val="single" w:color="auto" w:sz="4" w:space="0"/>
              <w:bottom w:val="single" w:color="auto" w:sz="4" w:space="0"/>
              <w:right w:val="single" w:color="auto" w:sz="4" w:space="0"/>
            </w:tcBorders>
            <w:vAlign w:val="center"/>
          </w:tcPr>
          <w:p w14:paraId="759C1D03">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马克思主义学院</w:t>
            </w:r>
          </w:p>
        </w:tc>
      </w:tr>
      <w:tr w14:paraId="3ED1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61A8D2D3">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六</w:t>
            </w:r>
          </w:p>
        </w:tc>
        <w:tc>
          <w:tcPr>
            <w:tcW w:w="2410" w:type="dxa"/>
            <w:tcBorders>
              <w:top w:val="single" w:color="auto" w:sz="4" w:space="0"/>
              <w:left w:val="single" w:color="auto" w:sz="4" w:space="0"/>
              <w:bottom w:val="single" w:color="auto" w:sz="4" w:space="0"/>
              <w:right w:val="single" w:color="auto" w:sz="4" w:space="0"/>
            </w:tcBorders>
            <w:vAlign w:val="center"/>
          </w:tcPr>
          <w:p w14:paraId="0A58415E">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在校园文化建设中强化劳动文化</w:t>
            </w:r>
          </w:p>
        </w:tc>
        <w:tc>
          <w:tcPr>
            <w:tcW w:w="4281" w:type="dxa"/>
            <w:tcBorders>
              <w:top w:val="single" w:color="auto" w:sz="4" w:space="0"/>
              <w:left w:val="single" w:color="auto" w:sz="4" w:space="0"/>
              <w:bottom w:val="single" w:color="auto" w:sz="4" w:space="0"/>
              <w:right w:val="single" w:color="auto" w:sz="4" w:space="0"/>
            </w:tcBorders>
            <w:vAlign w:val="center"/>
          </w:tcPr>
          <w:p w14:paraId="4ABFDFC4">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将劳动习惯、劳动品质的养成教育融入校园文化建设之中。</w:t>
            </w:r>
          </w:p>
        </w:tc>
        <w:tc>
          <w:tcPr>
            <w:tcW w:w="2192" w:type="dxa"/>
            <w:tcBorders>
              <w:top w:val="single" w:color="auto" w:sz="4" w:space="0"/>
              <w:left w:val="single" w:color="auto" w:sz="4" w:space="0"/>
              <w:bottom w:val="single" w:color="auto" w:sz="4" w:space="0"/>
              <w:right w:val="single" w:color="auto" w:sz="4" w:space="0"/>
            </w:tcBorders>
            <w:vAlign w:val="center"/>
          </w:tcPr>
          <w:p w14:paraId="21FB5B11">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各学系、学生处</w:t>
            </w:r>
          </w:p>
        </w:tc>
      </w:tr>
      <w:tr w14:paraId="1EA30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59F2D389">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七</w:t>
            </w:r>
          </w:p>
        </w:tc>
        <w:tc>
          <w:tcPr>
            <w:tcW w:w="2410" w:type="dxa"/>
            <w:tcBorders>
              <w:top w:val="single" w:color="auto" w:sz="4" w:space="0"/>
              <w:left w:val="single" w:color="auto" w:sz="4" w:space="0"/>
              <w:bottom w:val="single" w:color="auto" w:sz="4" w:space="0"/>
              <w:right w:val="single" w:color="auto" w:sz="4" w:space="0"/>
            </w:tcBorders>
            <w:vAlign w:val="center"/>
          </w:tcPr>
          <w:p w14:paraId="5332A323">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加强劳动教育优秀事迹的宣传</w:t>
            </w:r>
          </w:p>
        </w:tc>
        <w:tc>
          <w:tcPr>
            <w:tcW w:w="4281" w:type="dxa"/>
            <w:tcBorders>
              <w:top w:val="single" w:color="auto" w:sz="4" w:space="0"/>
              <w:left w:val="single" w:color="auto" w:sz="4" w:space="0"/>
              <w:bottom w:val="single" w:color="auto" w:sz="4" w:space="0"/>
              <w:right w:val="single" w:color="auto" w:sz="4" w:space="0"/>
            </w:tcBorders>
            <w:vAlign w:val="center"/>
          </w:tcPr>
          <w:p w14:paraId="71E3EB00">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综合运用讲座、宣传栏、新媒体等，广泛宣传劳动榜样人物事迹，特别是身边的普通劳动者事迹。</w:t>
            </w:r>
          </w:p>
        </w:tc>
        <w:tc>
          <w:tcPr>
            <w:tcW w:w="2192" w:type="dxa"/>
            <w:tcBorders>
              <w:top w:val="single" w:color="auto" w:sz="4" w:space="0"/>
              <w:left w:val="single" w:color="auto" w:sz="4" w:space="0"/>
              <w:bottom w:val="single" w:color="auto" w:sz="4" w:space="0"/>
              <w:right w:val="single" w:color="auto" w:sz="4" w:space="0"/>
            </w:tcBorders>
            <w:vAlign w:val="center"/>
          </w:tcPr>
          <w:p w14:paraId="7D77A97E">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宣传部、各学系</w:t>
            </w:r>
          </w:p>
        </w:tc>
      </w:tr>
      <w:tr w14:paraId="59DD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3D01A0D8">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八</w:t>
            </w:r>
          </w:p>
        </w:tc>
        <w:tc>
          <w:tcPr>
            <w:tcW w:w="2410" w:type="dxa"/>
            <w:tcBorders>
              <w:top w:val="single" w:color="auto" w:sz="4" w:space="0"/>
              <w:left w:val="single" w:color="auto" w:sz="4" w:space="0"/>
              <w:bottom w:val="single" w:color="auto" w:sz="4" w:space="0"/>
              <w:right w:val="single" w:color="auto" w:sz="4" w:space="0"/>
            </w:tcBorders>
            <w:vAlign w:val="center"/>
          </w:tcPr>
          <w:p w14:paraId="3A2A2E7B">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把劳动教育纳入学生素质综合测评</w:t>
            </w:r>
          </w:p>
        </w:tc>
        <w:tc>
          <w:tcPr>
            <w:tcW w:w="4281" w:type="dxa"/>
            <w:tcBorders>
              <w:top w:val="single" w:color="auto" w:sz="4" w:space="0"/>
              <w:left w:val="single" w:color="auto" w:sz="4" w:space="0"/>
              <w:bottom w:val="single" w:color="auto" w:sz="4" w:space="0"/>
              <w:right w:val="single" w:color="auto" w:sz="4" w:space="0"/>
            </w:tcBorders>
            <w:vAlign w:val="center"/>
          </w:tcPr>
          <w:p w14:paraId="77F499B2">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选择代表性的写实记录，纳入综合素质档案，作为学生学年评优评先的重要参考。</w:t>
            </w:r>
          </w:p>
        </w:tc>
        <w:tc>
          <w:tcPr>
            <w:tcW w:w="2192" w:type="dxa"/>
            <w:tcBorders>
              <w:top w:val="single" w:color="auto" w:sz="4" w:space="0"/>
              <w:left w:val="single" w:color="auto" w:sz="4" w:space="0"/>
              <w:bottom w:val="single" w:color="auto" w:sz="4" w:space="0"/>
              <w:right w:val="single" w:color="auto" w:sz="4" w:space="0"/>
            </w:tcBorders>
            <w:vAlign w:val="center"/>
          </w:tcPr>
          <w:p w14:paraId="33510D9A">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学生处、各学系</w:t>
            </w:r>
          </w:p>
        </w:tc>
      </w:tr>
      <w:tr w14:paraId="3C631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56B3BDB1">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九</w:t>
            </w:r>
          </w:p>
        </w:tc>
        <w:tc>
          <w:tcPr>
            <w:tcW w:w="2410" w:type="dxa"/>
            <w:tcBorders>
              <w:top w:val="single" w:color="auto" w:sz="4" w:space="0"/>
              <w:left w:val="single" w:color="auto" w:sz="4" w:space="0"/>
              <w:bottom w:val="single" w:color="auto" w:sz="4" w:space="0"/>
              <w:right w:val="single" w:color="auto" w:sz="4" w:space="0"/>
            </w:tcBorders>
            <w:vAlign w:val="center"/>
          </w:tcPr>
          <w:p w14:paraId="2BC94CBE">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加强师资队伍建设</w:t>
            </w:r>
          </w:p>
        </w:tc>
        <w:tc>
          <w:tcPr>
            <w:tcW w:w="4281" w:type="dxa"/>
            <w:tcBorders>
              <w:top w:val="single" w:color="auto" w:sz="4" w:space="0"/>
              <w:left w:val="single" w:color="auto" w:sz="4" w:space="0"/>
              <w:bottom w:val="single" w:color="auto" w:sz="4" w:space="0"/>
              <w:right w:val="single" w:color="auto" w:sz="4" w:space="0"/>
            </w:tcBorders>
            <w:vAlign w:val="center"/>
          </w:tcPr>
          <w:p w14:paraId="591BFF45">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把劳动教育纳入教育行政干部、教师、辅导员培训内容，开展全员培训，强化劳动意识、劳动观念，提升劳动教育的自觉性。对承担劳动教育课程的教师进行专项培训，提高劳动育人意识和专业化水平。</w:t>
            </w:r>
          </w:p>
        </w:tc>
        <w:tc>
          <w:tcPr>
            <w:tcW w:w="2192" w:type="dxa"/>
            <w:tcBorders>
              <w:top w:val="single" w:color="auto" w:sz="4" w:space="0"/>
              <w:left w:val="single" w:color="auto" w:sz="4" w:space="0"/>
              <w:bottom w:val="single" w:color="auto" w:sz="4" w:space="0"/>
              <w:right w:val="single" w:color="auto" w:sz="4" w:space="0"/>
            </w:tcBorders>
            <w:vAlign w:val="center"/>
          </w:tcPr>
          <w:p w14:paraId="70542A32">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人事处</w:t>
            </w:r>
          </w:p>
        </w:tc>
      </w:tr>
      <w:tr w14:paraId="78CC5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1AA58889">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十</w:t>
            </w:r>
          </w:p>
        </w:tc>
        <w:tc>
          <w:tcPr>
            <w:tcW w:w="2410" w:type="dxa"/>
            <w:tcBorders>
              <w:top w:val="single" w:color="auto" w:sz="4" w:space="0"/>
              <w:left w:val="single" w:color="auto" w:sz="4" w:space="0"/>
              <w:bottom w:val="single" w:color="auto" w:sz="4" w:space="0"/>
              <w:right w:val="single" w:color="auto" w:sz="4" w:space="0"/>
            </w:tcBorders>
            <w:vAlign w:val="center"/>
          </w:tcPr>
          <w:p w14:paraId="6B9DED5B">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健全经费投入机制</w:t>
            </w:r>
          </w:p>
        </w:tc>
        <w:tc>
          <w:tcPr>
            <w:tcW w:w="4281" w:type="dxa"/>
            <w:tcBorders>
              <w:top w:val="single" w:color="auto" w:sz="4" w:space="0"/>
              <w:left w:val="single" w:color="auto" w:sz="4" w:space="0"/>
              <w:bottom w:val="single" w:color="auto" w:sz="4" w:space="0"/>
              <w:right w:val="single" w:color="auto" w:sz="4" w:space="0"/>
            </w:tcBorders>
            <w:vAlign w:val="center"/>
          </w:tcPr>
          <w:p w14:paraId="4273F69A">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加快建设校内劳动教育场所和校外劳动教育实践基地，加强学校劳动教育设施建设，建立学校劳动教育器材、耗材补充机制。</w:t>
            </w:r>
          </w:p>
        </w:tc>
        <w:tc>
          <w:tcPr>
            <w:tcW w:w="2192" w:type="dxa"/>
            <w:tcBorders>
              <w:top w:val="single" w:color="auto" w:sz="4" w:space="0"/>
              <w:left w:val="single" w:color="auto" w:sz="4" w:space="0"/>
              <w:bottom w:val="single" w:color="auto" w:sz="4" w:space="0"/>
              <w:right w:val="single" w:color="auto" w:sz="4" w:space="0"/>
            </w:tcBorders>
            <w:vAlign w:val="center"/>
          </w:tcPr>
          <w:p w14:paraId="0BE44D85">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技能实训中心、总务处、财务处、各学系</w:t>
            </w:r>
          </w:p>
        </w:tc>
      </w:tr>
      <w:tr w14:paraId="6D9C6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64CCC39D">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十一</w:t>
            </w:r>
          </w:p>
        </w:tc>
        <w:tc>
          <w:tcPr>
            <w:tcW w:w="2410" w:type="dxa"/>
            <w:tcBorders>
              <w:top w:val="single" w:color="auto" w:sz="4" w:space="0"/>
              <w:left w:val="single" w:color="auto" w:sz="4" w:space="0"/>
              <w:bottom w:val="single" w:color="auto" w:sz="4" w:space="0"/>
              <w:right w:val="single" w:color="auto" w:sz="4" w:space="0"/>
            </w:tcBorders>
            <w:vAlign w:val="center"/>
          </w:tcPr>
          <w:p w14:paraId="77BA0F7F">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建立劳动教育检查评估机制</w:t>
            </w:r>
          </w:p>
        </w:tc>
        <w:tc>
          <w:tcPr>
            <w:tcW w:w="4281" w:type="dxa"/>
            <w:tcBorders>
              <w:top w:val="single" w:color="auto" w:sz="4" w:space="0"/>
              <w:left w:val="single" w:color="auto" w:sz="4" w:space="0"/>
              <w:bottom w:val="single" w:color="auto" w:sz="4" w:space="0"/>
              <w:right w:val="single" w:color="auto" w:sz="4" w:space="0"/>
            </w:tcBorders>
            <w:vAlign w:val="center"/>
          </w:tcPr>
          <w:p w14:paraId="560185D0">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把劳动教育实施情况纳入学校学院教育教学工作评估。</w:t>
            </w:r>
          </w:p>
        </w:tc>
        <w:tc>
          <w:tcPr>
            <w:tcW w:w="2192" w:type="dxa"/>
            <w:tcBorders>
              <w:top w:val="single" w:color="auto" w:sz="4" w:space="0"/>
              <w:left w:val="single" w:color="auto" w:sz="4" w:space="0"/>
              <w:bottom w:val="single" w:color="auto" w:sz="4" w:space="0"/>
              <w:right w:val="single" w:color="auto" w:sz="4" w:space="0"/>
            </w:tcBorders>
            <w:vAlign w:val="center"/>
          </w:tcPr>
          <w:p w14:paraId="3D299794">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教学督导室、各学系</w:t>
            </w:r>
          </w:p>
        </w:tc>
      </w:tr>
      <w:tr w14:paraId="273C9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3" w:type="dxa"/>
            <w:tcBorders>
              <w:top w:val="single" w:color="auto" w:sz="4" w:space="0"/>
              <w:left w:val="single" w:color="auto" w:sz="4" w:space="0"/>
              <w:bottom w:val="single" w:color="auto" w:sz="4" w:space="0"/>
              <w:right w:val="single" w:color="auto" w:sz="4" w:space="0"/>
            </w:tcBorders>
            <w:vAlign w:val="center"/>
          </w:tcPr>
          <w:p w14:paraId="5AC9EE91">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十二</w:t>
            </w:r>
          </w:p>
        </w:tc>
        <w:tc>
          <w:tcPr>
            <w:tcW w:w="2410" w:type="dxa"/>
            <w:tcBorders>
              <w:top w:val="single" w:color="auto" w:sz="4" w:space="0"/>
              <w:left w:val="single" w:color="auto" w:sz="4" w:space="0"/>
              <w:bottom w:val="single" w:color="auto" w:sz="4" w:space="0"/>
              <w:right w:val="single" w:color="auto" w:sz="4" w:space="0"/>
            </w:tcBorders>
            <w:vAlign w:val="center"/>
          </w:tcPr>
          <w:p w14:paraId="608F812E">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建立健全劳动教育激励机制</w:t>
            </w:r>
          </w:p>
        </w:tc>
        <w:tc>
          <w:tcPr>
            <w:tcW w:w="4281" w:type="dxa"/>
            <w:tcBorders>
              <w:top w:val="single" w:color="auto" w:sz="4" w:space="0"/>
              <w:left w:val="single" w:color="auto" w:sz="4" w:space="0"/>
              <w:bottom w:val="single" w:color="auto" w:sz="4" w:space="0"/>
              <w:right w:val="single" w:color="auto" w:sz="4" w:space="0"/>
            </w:tcBorders>
            <w:vAlign w:val="center"/>
          </w:tcPr>
          <w:p w14:paraId="62292693">
            <w:pPr>
              <w:pageBreakBefore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在学校教学成果奖励中，将劳动教育教学成果纳入评奖范围，对优秀成果予以奖励。</w:t>
            </w:r>
          </w:p>
        </w:tc>
        <w:tc>
          <w:tcPr>
            <w:tcW w:w="2192" w:type="dxa"/>
            <w:tcBorders>
              <w:top w:val="single" w:color="auto" w:sz="4" w:space="0"/>
              <w:left w:val="single" w:color="auto" w:sz="4" w:space="0"/>
              <w:bottom w:val="single" w:color="auto" w:sz="4" w:space="0"/>
              <w:right w:val="single" w:color="auto" w:sz="4" w:space="0"/>
            </w:tcBorders>
            <w:vAlign w:val="center"/>
          </w:tcPr>
          <w:p w14:paraId="0873DDCD">
            <w:pPr>
              <w:pageBreakBefore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人事处</w:t>
            </w:r>
          </w:p>
        </w:tc>
      </w:tr>
    </w:tbl>
    <w:p w14:paraId="425773DC">
      <w:pPr>
        <w:pageBreakBefore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p>
    <w:p w14:paraId="42C368D9">
      <w:pPr>
        <w:pageBreakBefore w:val="0"/>
        <w:kinsoku/>
        <w:wordWrap/>
        <w:overflowPunct/>
        <w:topLinePunct w:val="0"/>
        <w:autoSpaceDE/>
        <w:autoSpaceDN/>
        <w:bidi w:val="0"/>
        <w:adjustRightInd/>
        <w:snapToGrid/>
        <w:spacing w:line="440" w:lineRule="exact"/>
        <w:jc w:val="left"/>
        <w:textAlignment w:val="auto"/>
        <w:outlineLvl w:val="1"/>
        <w:rPr>
          <w:rFonts w:ascii="宋体" w:hAnsi="宋体" w:cs="宋体"/>
          <w:bCs/>
          <w:color w:val="auto"/>
          <w:kern w:val="0"/>
          <w:sz w:val="24"/>
          <w:lang w:val="en"/>
        </w:rPr>
      </w:pPr>
    </w:p>
    <w:p w14:paraId="48DD68D8">
      <w:pPr>
        <w:pageBreakBefore w:val="0"/>
        <w:kinsoku/>
        <w:wordWrap/>
        <w:overflowPunct/>
        <w:topLinePunct w:val="0"/>
        <w:autoSpaceDE/>
        <w:autoSpaceDN/>
        <w:bidi w:val="0"/>
        <w:adjustRightInd/>
        <w:snapToGrid/>
        <w:spacing w:line="440" w:lineRule="exact"/>
        <w:jc w:val="left"/>
        <w:textAlignment w:val="auto"/>
        <w:outlineLvl w:val="1"/>
        <w:rPr>
          <w:rFonts w:ascii="宋体" w:hAnsi="宋体" w:cs="宋体"/>
          <w:bCs/>
          <w:color w:val="auto"/>
          <w:kern w:val="0"/>
          <w:sz w:val="24"/>
          <w:lang w:val="en"/>
        </w:rPr>
      </w:pPr>
    </w:p>
    <w:p w14:paraId="5C5112EF">
      <w:pPr>
        <w:pStyle w:val="2"/>
        <w:pageBreakBefore w:val="0"/>
        <w:kinsoku/>
        <w:wordWrap/>
        <w:overflowPunct/>
        <w:topLinePunct w:val="0"/>
        <w:autoSpaceDE/>
        <w:autoSpaceDN/>
        <w:bidi w:val="0"/>
        <w:adjustRightInd/>
        <w:snapToGrid/>
        <w:textAlignment w:val="auto"/>
        <w:outlineLvl w:val="1"/>
        <w:rPr>
          <w:lang w:val="en"/>
        </w:rPr>
      </w:pPr>
    </w:p>
    <w:p w14:paraId="6855D792">
      <w:pPr>
        <w:pageBreakBefore w:val="0"/>
        <w:kinsoku/>
        <w:wordWrap/>
        <w:overflowPunct/>
        <w:topLinePunct w:val="0"/>
        <w:autoSpaceDE/>
        <w:autoSpaceDN/>
        <w:bidi w:val="0"/>
        <w:adjustRightInd/>
        <w:snapToGrid/>
        <w:spacing w:line="440" w:lineRule="exact"/>
        <w:jc w:val="left"/>
        <w:textAlignment w:val="auto"/>
        <w:outlineLvl w:val="1"/>
        <w:rPr>
          <w:rFonts w:ascii="宋体" w:hAnsi="宋体" w:cs="宋体"/>
          <w:bCs/>
          <w:color w:val="auto"/>
          <w:kern w:val="0"/>
          <w:sz w:val="24"/>
          <w:lang w:val="en"/>
        </w:rPr>
      </w:pPr>
    </w:p>
    <w:p w14:paraId="641E7EB8">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bCs/>
          <w:color w:val="auto"/>
          <w:kern w:val="0"/>
          <w:sz w:val="24"/>
          <w:lang w:val="en"/>
        </w:rPr>
      </w:pPr>
      <w:r>
        <w:rPr>
          <w:rFonts w:hint="eastAsia" w:ascii="宋体" w:hAnsi="宋体" w:cs="宋体"/>
          <w:bCs/>
          <w:color w:val="auto"/>
          <w:kern w:val="0"/>
          <w:sz w:val="24"/>
          <w:lang w:val="en"/>
        </w:rPr>
        <w:t>附件2：</w:t>
      </w:r>
    </w:p>
    <w:p w14:paraId="748180E4">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color w:val="auto"/>
          <w:kern w:val="0"/>
          <w:sz w:val="24"/>
          <w:lang w:val="en"/>
        </w:rPr>
      </w:pPr>
      <w:r>
        <w:rPr>
          <w:rFonts w:hint="eastAsia" w:ascii="宋体" w:hAnsi="宋体" w:cs="宋体"/>
          <w:b/>
          <w:color w:val="auto"/>
          <w:kern w:val="0"/>
          <w:sz w:val="24"/>
          <w:lang w:val="en"/>
        </w:rPr>
        <w:t>汕头职业技术学院《劳动教育》课程实施细则</w:t>
      </w:r>
    </w:p>
    <w:p w14:paraId="1D656409">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劳动教育是国民教育体系的重要内容，是学生成长的必要途径，具有树德、增智、强体、育美的综合育人价值。为构建德智体美劳“五育并举”人才培养体系，充实劳动教育内容，实施劳动教育课程，强化课程考核，促进劳动教育及其活动落到实处，在系统的文化知识学习之外，有目的、有计划地实施劳动教育重点、组织学生参加劳动，让学生动手实践、出力流汗，接受锻炼、磨炼意志，培养学生正确劳动价值观和良好劳动品质，根据《汕头职业技术学院学生劳动教育实施方案》等文件，现结合我院学生实际情况，特制定本实施细则。</w:t>
      </w:r>
    </w:p>
    <w:p w14:paraId="05BB4403">
      <w:pPr>
        <w:pStyle w:val="2"/>
        <w:keepNext w:val="0"/>
        <w:keepLines w:val="0"/>
        <w:pageBreakBefore w:val="0"/>
        <w:widowControl w:val="0"/>
        <w:kinsoku/>
        <w:wordWrap/>
        <w:overflowPunct/>
        <w:topLinePunct w:val="0"/>
        <w:autoSpaceDE/>
        <w:autoSpaceDN/>
        <w:bidi w:val="0"/>
        <w:adjustRightInd/>
        <w:snapToGrid/>
        <w:spacing w:before="0" w:after="0" w:line="440" w:lineRule="exact"/>
        <w:ind w:left="0" w:leftChars="0" w:firstLine="482" w:firstLineChars="200"/>
        <w:textAlignment w:val="auto"/>
        <w:outlineLvl w:val="1"/>
        <w:rPr>
          <w:rFonts w:ascii="宋体" w:hAnsi="宋体" w:cs="宋体"/>
          <w:color w:val="auto"/>
          <w:kern w:val="0"/>
          <w:sz w:val="24"/>
          <w:szCs w:val="24"/>
        </w:rPr>
      </w:pPr>
      <w:bookmarkStart w:id="4" w:name="_Toc10525"/>
      <w:r>
        <w:rPr>
          <w:rFonts w:hint="eastAsia" w:ascii="宋体" w:hAnsi="宋体" w:cs="宋体"/>
          <w:color w:val="auto"/>
          <w:kern w:val="0"/>
          <w:sz w:val="24"/>
          <w:szCs w:val="24"/>
        </w:rPr>
        <w:t>一、教学对象与管理</w:t>
      </w:r>
      <w:bookmarkEnd w:id="4"/>
    </w:p>
    <w:p w14:paraId="2CF870F6">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（一）本实施细则对象为汕头职业技术学院全日制在校学生。</w:t>
      </w:r>
    </w:p>
    <w:p w14:paraId="269005FF">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（二）《劳动教育》课程由学院劳动教育管理中心统一管理，各学系负责具体组织和考核。</w:t>
      </w:r>
    </w:p>
    <w:p w14:paraId="436F886D">
      <w:pPr>
        <w:pStyle w:val="2"/>
        <w:keepNext w:val="0"/>
        <w:keepLines w:val="0"/>
        <w:pageBreakBefore w:val="0"/>
        <w:widowControl w:val="0"/>
        <w:kinsoku/>
        <w:wordWrap/>
        <w:overflowPunct/>
        <w:topLinePunct w:val="0"/>
        <w:autoSpaceDE/>
        <w:autoSpaceDN/>
        <w:bidi w:val="0"/>
        <w:adjustRightInd/>
        <w:snapToGrid/>
        <w:spacing w:before="0" w:after="0" w:line="440" w:lineRule="exact"/>
        <w:ind w:left="0" w:leftChars="0" w:firstLine="482" w:firstLineChars="200"/>
        <w:textAlignment w:val="auto"/>
        <w:outlineLvl w:val="1"/>
        <w:rPr>
          <w:rFonts w:ascii="宋体" w:hAnsi="宋体" w:cs="宋体"/>
          <w:color w:val="auto"/>
          <w:kern w:val="0"/>
          <w:sz w:val="24"/>
          <w:szCs w:val="24"/>
        </w:rPr>
      </w:pPr>
      <w:bookmarkStart w:id="5" w:name="_Toc31953"/>
      <w:r>
        <w:rPr>
          <w:rFonts w:hint="eastAsia" w:ascii="宋体" w:hAnsi="宋体" w:cs="宋体"/>
          <w:color w:val="auto"/>
          <w:kern w:val="0"/>
          <w:sz w:val="24"/>
          <w:szCs w:val="24"/>
        </w:rPr>
        <w:t>二、教学内容与实践安排</w:t>
      </w:r>
      <w:bookmarkEnd w:id="5"/>
    </w:p>
    <w:p w14:paraId="781766FC">
      <w:pPr>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kern w:val="0"/>
          <w:sz w:val="24"/>
        </w:rPr>
      </w:pPr>
      <w:r>
        <w:rPr>
          <w:rFonts w:hint="eastAsia" w:ascii="宋体" w:hAnsi="宋体" w:cs="宋体"/>
          <w:b/>
          <w:bCs/>
          <w:color w:val="auto"/>
          <w:sz w:val="24"/>
        </w:rPr>
        <w:t>（一）《</w:t>
      </w:r>
      <w:r>
        <w:rPr>
          <w:rFonts w:hint="eastAsia" w:ascii="宋体" w:hAnsi="宋体" w:cs="宋体"/>
          <w:b/>
          <w:bCs/>
          <w:color w:val="auto"/>
          <w:kern w:val="0"/>
          <w:sz w:val="24"/>
        </w:rPr>
        <w:t>劳动教育》课程理论教学</w:t>
      </w:r>
    </w:p>
    <w:p w14:paraId="4A5EE562">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kern w:val="0"/>
          <w:sz w:val="24"/>
        </w:rPr>
        <w:t>由学院劳动</w:t>
      </w:r>
      <w:r>
        <w:rPr>
          <w:rFonts w:hint="eastAsia" w:ascii="宋体" w:hAnsi="宋体" w:cs="宋体"/>
          <w:color w:val="auto"/>
          <w:sz w:val="24"/>
        </w:rPr>
        <w:t>教育管理中心或各学系聘请劳动模范、知名企业家、成功创业人士等为学生开设讲座。</w:t>
      </w:r>
    </w:p>
    <w:p w14:paraId="4BB042C0">
      <w:pPr>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（二）《</w:t>
      </w:r>
      <w:r>
        <w:rPr>
          <w:rFonts w:hint="eastAsia" w:ascii="宋体" w:hAnsi="宋体" w:cs="宋体"/>
          <w:b/>
          <w:bCs/>
          <w:color w:val="auto"/>
          <w:kern w:val="0"/>
          <w:sz w:val="24"/>
        </w:rPr>
        <w:t>劳动教育》课程</w:t>
      </w:r>
      <w:r>
        <w:rPr>
          <w:rFonts w:hint="eastAsia" w:ascii="宋体" w:hAnsi="宋体" w:cs="宋体"/>
          <w:b/>
          <w:bCs/>
          <w:color w:val="auto"/>
          <w:sz w:val="24"/>
        </w:rPr>
        <w:t>实践教学</w:t>
      </w:r>
    </w:p>
    <w:p w14:paraId="2A4226A4">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《劳动教育》课程实践教学主要包括日常生活劳动教育和服务性劳动教育，具体包括宿舍卫生清洁、义务劳动、暑期“三下乡”、校内外志愿服务等服务性劳动。</w:t>
      </w:r>
    </w:p>
    <w:p w14:paraId="2D6542FC">
      <w:pPr>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1.宿舍卫生清洁活动</w:t>
      </w:r>
    </w:p>
    <w:p w14:paraId="7D6DF4F2">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（1）活动目的</w:t>
      </w:r>
    </w:p>
    <w:p w14:paraId="60061926">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创建文明校园，共建温馨宿舍，在于帮助同学们树立正确的价值观和积极的生活态度，增强同学们的组织性、纪律性，培养团结协作的能力，养成良好的生活习惯，促进学生全面发展。</w:t>
      </w:r>
    </w:p>
    <w:p w14:paraId="287EEC92">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（2）活动时间及范围</w:t>
      </w:r>
    </w:p>
    <w:p w14:paraId="22640A73">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每周周四，学院本部及各校区非毕业班学生宿舍。</w:t>
      </w:r>
    </w:p>
    <w:p w14:paraId="2310F3E0">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（3）劳动内容</w:t>
      </w:r>
    </w:p>
    <w:p w14:paraId="64AC4C87">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内务卫生：整理宿舍内务，清洁宿舍门窗及周边公共场所，将个人物品摆放整齐。</w:t>
      </w:r>
    </w:p>
    <w:p w14:paraId="3F54CA18">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（4）宿舍卫生评比</w:t>
      </w:r>
    </w:p>
    <w:p w14:paraId="0BBD95D9">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由学生处、各校区组织评分小组在每周四下午对每个宿舍的卫生状况进行评分，每个月月底汇总后，评出一、二、三等奖进行奖励，同时记入劳动课程成绩。</w:t>
      </w:r>
    </w:p>
    <w:p w14:paraId="0D41E16F">
      <w:pPr>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2.校内创文义务劳动</w:t>
      </w:r>
    </w:p>
    <w:p w14:paraId="59134A3D">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（1）活动目的</w:t>
      </w:r>
    </w:p>
    <w:p w14:paraId="34000EA8">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根据汕头市创建文明城市工作以及学院创建文明校园的需要，定期对我院的每个公共场所开展卫生清洁活动，让校园保持卫生整洁。</w:t>
      </w:r>
    </w:p>
    <w:p w14:paraId="4183D236">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（2）活动时间安排</w:t>
      </w:r>
    </w:p>
    <w:p w14:paraId="4D570FED">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根据《汕头职业技术学院学生劳动教育实施方案》的要求，各学系都要设立劳动周，因此院本部各系每学期按表1的时间安排，组织学生开展校内创文义务劳动。各校区以班级或专业为单位，定期安排开展校内创文义务劳动。</w:t>
      </w:r>
    </w:p>
    <w:p w14:paraId="514E371F">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r>
        <w:rPr>
          <w:rFonts w:hint="eastAsia" w:ascii="宋体" w:hAnsi="宋体" w:cs="宋体"/>
          <w:b/>
          <w:bCs/>
          <w:color w:val="auto"/>
          <w:sz w:val="24"/>
        </w:rPr>
        <w:t>表1：院本部学生校内创文义务劳动实践安排时间表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4483"/>
        <w:gridCol w:w="2131"/>
      </w:tblGrid>
      <w:tr w14:paraId="013E5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14:paraId="4A214612">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kern w:val="0"/>
                <w:sz w:val="24"/>
              </w:rPr>
            </w:pPr>
            <w:r>
              <w:rPr>
                <w:rFonts w:hint="eastAsia" w:ascii="宋体" w:hAnsi="宋体" w:cs="宋体"/>
                <w:b/>
                <w:bCs/>
                <w:color w:val="auto"/>
                <w:kern w:val="0"/>
                <w:sz w:val="24"/>
              </w:rPr>
              <w:t>序号</w:t>
            </w:r>
          </w:p>
        </w:tc>
        <w:tc>
          <w:tcPr>
            <w:tcW w:w="1080" w:type="dxa"/>
            <w:vAlign w:val="center"/>
          </w:tcPr>
          <w:p w14:paraId="051BB8DB">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kern w:val="0"/>
                <w:sz w:val="24"/>
              </w:rPr>
            </w:pPr>
            <w:r>
              <w:rPr>
                <w:rFonts w:hint="eastAsia" w:ascii="宋体" w:hAnsi="宋体" w:cs="宋体"/>
                <w:b/>
                <w:bCs/>
                <w:color w:val="auto"/>
                <w:kern w:val="0"/>
                <w:sz w:val="24"/>
              </w:rPr>
              <w:t>周次</w:t>
            </w:r>
          </w:p>
        </w:tc>
        <w:tc>
          <w:tcPr>
            <w:tcW w:w="4483" w:type="dxa"/>
            <w:vAlign w:val="center"/>
          </w:tcPr>
          <w:p w14:paraId="5C54F253">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kern w:val="0"/>
                <w:sz w:val="24"/>
              </w:rPr>
            </w:pPr>
            <w:r>
              <w:rPr>
                <w:rFonts w:hint="eastAsia" w:ascii="宋体" w:hAnsi="宋体" w:cs="宋体"/>
                <w:b/>
                <w:bCs/>
                <w:color w:val="auto"/>
                <w:kern w:val="0"/>
                <w:sz w:val="24"/>
              </w:rPr>
              <w:t>系名</w:t>
            </w:r>
          </w:p>
        </w:tc>
        <w:tc>
          <w:tcPr>
            <w:tcW w:w="2131" w:type="dxa"/>
            <w:vAlign w:val="center"/>
          </w:tcPr>
          <w:p w14:paraId="37641013">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kern w:val="0"/>
                <w:sz w:val="24"/>
              </w:rPr>
            </w:pPr>
            <w:r>
              <w:rPr>
                <w:rFonts w:hint="eastAsia" w:ascii="宋体" w:hAnsi="宋体" w:cs="宋体"/>
                <w:b/>
                <w:bCs/>
                <w:color w:val="auto"/>
                <w:kern w:val="0"/>
                <w:sz w:val="24"/>
              </w:rPr>
              <w:t>备注</w:t>
            </w:r>
          </w:p>
        </w:tc>
      </w:tr>
      <w:tr w14:paraId="263D1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13941FE">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1</w:t>
            </w:r>
          </w:p>
        </w:tc>
        <w:tc>
          <w:tcPr>
            <w:tcW w:w="1080" w:type="dxa"/>
          </w:tcPr>
          <w:p w14:paraId="25333F8D">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二</w:t>
            </w:r>
          </w:p>
        </w:tc>
        <w:tc>
          <w:tcPr>
            <w:tcW w:w="4483" w:type="dxa"/>
          </w:tcPr>
          <w:p w14:paraId="73D6E8E6">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机电工程系</w:t>
            </w:r>
          </w:p>
        </w:tc>
        <w:tc>
          <w:tcPr>
            <w:tcW w:w="2131" w:type="dxa"/>
          </w:tcPr>
          <w:p w14:paraId="2D3A4511">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5E774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9295815">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2</w:t>
            </w:r>
          </w:p>
        </w:tc>
        <w:tc>
          <w:tcPr>
            <w:tcW w:w="1080" w:type="dxa"/>
          </w:tcPr>
          <w:p w14:paraId="3A7B70DD">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五</w:t>
            </w:r>
          </w:p>
        </w:tc>
        <w:tc>
          <w:tcPr>
            <w:tcW w:w="4483" w:type="dxa"/>
          </w:tcPr>
          <w:p w14:paraId="500D2F27">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计算机系</w:t>
            </w:r>
          </w:p>
        </w:tc>
        <w:tc>
          <w:tcPr>
            <w:tcW w:w="2131" w:type="dxa"/>
          </w:tcPr>
          <w:p w14:paraId="07EFD814">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2ACE8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440340F">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3</w:t>
            </w:r>
          </w:p>
        </w:tc>
        <w:tc>
          <w:tcPr>
            <w:tcW w:w="1080" w:type="dxa"/>
          </w:tcPr>
          <w:p w14:paraId="1CB59150">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六</w:t>
            </w:r>
          </w:p>
        </w:tc>
        <w:tc>
          <w:tcPr>
            <w:tcW w:w="4483" w:type="dxa"/>
          </w:tcPr>
          <w:p w14:paraId="39CD85A0">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经济管理系</w:t>
            </w:r>
          </w:p>
        </w:tc>
        <w:tc>
          <w:tcPr>
            <w:tcW w:w="2131" w:type="dxa"/>
          </w:tcPr>
          <w:p w14:paraId="7D372B05">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55117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3A8E52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4</w:t>
            </w:r>
          </w:p>
        </w:tc>
        <w:tc>
          <w:tcPr>
            <w:tcW w:w="1080" w:type="dxa"/>
          </w:tcPr>
          <w:p w14:paraId="5B6F2CB6">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七</w:t>
            </w:r>
          </w:p>
        </w:tc>
        <w:tc>
          <w:tcPr>
            <w:tcW w:w="4483" w:type="dxa"/>
          </w:tcPr>
          <w:p w14:paraId="7EE0833A">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外语系</w:t>
            </w:r>
          </w:p>
        </w:tc>
        <w:tc>
          <w:tcPr>
            <w:tcW w:w="2131" w:type="dxa"/>
          </w:tcPr>
          <w:p w14:paraId="645C41CE">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422C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6580337">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5</w:t>
            </w:r>
          </w:p>
        </w:tc>
        <w:tc>
          <w:tcPr>
            <w:tcW w:w="1080" w:type="dxa"/>
          </w:tcPr>
          <w:p w14:paraId="505398B1">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八</w:t>
            </w:r>
          </w:p>
        </w:tc>
        <w:tc>
          <w:tcPr>
            <w:tcW w:w="4483" w:type="dxa"/>
          </w:tcPr>
          <w:p w14:paraId="70AB93D0">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艺术体育系</w:t>
            </w:r>
          </w:p>
        </w:tc>
        <w:tc>
          <w:tcPr>
            <w:tcW w:w="2131" w:type="dxa"/>
          </w:tcPr>
          <w:p w14:paraId="14DF4663">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5F1A7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9C80A3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6</w:t>
            </w:r>
          </w:p>
        </w:tc>
        <w:tc>
          <w:tcPr>
            <w:tcW w:w="1080" w:type="dxa"/>
          </w:tcPr>
          <w:p w14:paraId="71CBDDC8">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十二</w:t>
            </w:r>
          </w:p>
        </w:tc>
        <w:tc>
          <w:tcPr>
            <w:tcW w:w="4483" w:type="dxa"/>
          </w:tcPr>
          <w:p w14:paraId="7B9608BD">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机电工程系</w:t>
            </w:r>
          </w:p>
        </w:tc>
        <w:tc>
          <w:tcPr>
            <w:tcW w:w="2131" w:type="dxa"/>
          </w:tcPr>
          <w:p w14:paraId="1AFE757F">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4CEB6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80E944A">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7</w:t>
            </w:r>
          </w:p>
        </w:tc>
        <w:tc>
          <w:tcPr>
            <w:tcW w:w="1080" w:type="dxa"/>
          </w:tcPr>
          <w:p w14:paraId="09C7C52F">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十三</w:t>
            </w:r>
          </w:p>
        </w:tc>
        <w:tc>
          <w:tcPr>
            <w:tcW w:w="4483" w:type="dxa"/>
          </w:tcPr>
          <w:p w14:paraId="7D98B327">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计算机系</w:t>
            </w:r>
          </w:p>
        </w:tc>
        <w:tc>
          <w:tcPr>
            <w:tcW w:w="2131" w:type="dxa"/>
          </w:tcPr>
          <w:p w14:paraId="3D53FB5B">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05C96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0CF56C9">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8</w:t>
            </w:r>
          </w:p>
        </w:tc>
        <w:tc>
          <w:tcPr>
            <w:tcW w:w="1080" w:type="dxa"/>
          </w:tcPr>
          <w:p w14:paraId="1A1FE2DC">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十四</w:t>
            </w:r>
          </w:p>
        </w:tc>
        <w:tc>
          <w:tcPr>
            <w:tcW w:w="4483" w:type="dxa"/>
          </w:tcPr>
          <w:p w14:paraId="6C5C7FB8">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经济管理系</w:t>
            </w:r>
          </w:p>
        </w:tc>
        <w:tc>
          <w:tcPr>
            <w:tcW w:w="2131" w:type="dxa"/>
          </w:tcPr>
          <w:p w14:paraId="41616459">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4D23A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6E27FEE">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9</w:t>
            </w:r>
          </w:p>
        </w:tc>
        <w:tc>
          <w:tcPr>
            <w:tcW w:w="1080" w:type="dxa"/>
          </w:tcPr>
          <w:p w14:paraId="2443A2D7">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十五</w:t>
            </w:r>
          </w:p>
        </w:tc>
        <w:tc>
          <w:tcPr>
            <w:tcW w:w="4483" w:type="dxa"/>
          </w:tcPr>
          <w:p w14:paraId="6A113372">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外语系</w:t>
            </w:r>
          </w:p>
        </w:tc>
        <w:tc>
          <w:tcPr>
            <w:tcW w:w="2131" w:type="dxa"/>
          </w:tcPr>
          <w:p w14:paraId="74BBC940">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r w14:paraId="5630C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522904D">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10</w:t>
            </w:r>
          </w:p>
        </w:tc>
        <w:tc>
          <w:tcPr>
            <w:tcW w:w="1080" w:type="dxa"/>
          </w:tcPr>
          <w:p w14:paraId="14D48FDB">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十六</w:t>
            </w:r>
          </w:p>
        </w:tc>
        <w:tc>
          <w:tcPr>
            <w:tcW w:w="4483" w:type="dxa"/>
          </w:tcPr>
          <w:p w14:paraId="0388443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kern w:val="0"/>
                <w:sz w:val="24"/>
              </w:rPr>
            </w:pPr>
            <w:r>
              <w:rPr>
                <w:rFonts w:hint="eastAsia" w:ascii="宋体" w:hAnsi="宋体" w:cs="宋体"/>
                <w:color w:val="auto"/>
                <w:kern w:val="0"/>
                <w:sz w:val="24"/>
              </w:rPr>
              <w:t>艺术体育系</w:t>
            </w:r>
          </w:p>
        </w:tc>
        <w:tc>
          <w:tcPr>
            <w:tcW w:w="2131" w:type="dxa"/>
          </w:tcPr>
          <w:p w14:paraId="02240ED1">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kern w:val="0"/>
                <w:sz w:val="24"/>
              </w:rPr>
            </w:pPr>
          </w:p>
        </w:tc>
      </w:tr>
    </w:tbl>
    <w:p w14:paraId="2C8CF613">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3.校外实践</w:t>
      </w:r>
    </w:p>
    <w:p w14:paraId="3D6917BC">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(1)实习实训活动</w:t>
      </w:r>
    </w:p>
    <w:p w14:paraId="4836A0D0">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校外实践安排在工厂或者校外劳动基地参与实训或者劳动，具体安排由各系根据各自不同特点安排适合自己系的实训活动或劳动实践。实训活动或外出劳动实践，要特别注重安全问题。</w:t>
      </w:r>
    </w:p>
    <w:p w14:paraId="5C7ACF4D">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（2）志愿服务活动</w:t>
      </w:r>
    </w:p>
    <w:p w14:paraId="539B6648">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志愿服务包括学校、学系组织的，服务地点在校外的，能在i志愿上进行注册登记，能提供志愿服务证明的活动。校外志愿活动包括寒暑期“三下乡”社会实践、寒暑假招生志愿活动、或其他志愿服务队、校外公共组织机构（如：学校、图书馆、博物馆等）、志愿者协会（如：汕头青年志愿者协会等)举办的，服务地点在校外的并能提供志愿服务证明的活动。</w:t>
      </w:r>
    </w:p>
    <w:p w14:paraId="68B91395">
      <w:pPr>
        <w:pStyle w:val="2"/>
        <w:keepNext w:val="0"/>
        <w:keepLines w:val="0"/>
        <w:pageBreakBefore w:val="0"/>
        <w:widowControl w:val="0"/>
        <w:kinsoku/>
        <w:wordWrap/>
        <w:overflowPunct/>
        <w:topLinePunct w:val="0"/>
        <w:autoSpaceDE/>
        <w:autoSpaceDN/>
        <w:bidi w:val="0"/>
        <w:adjustRightInd/>
        <w:snapToGrid/>
        <w:spacing w:before="0" w:after="0" w:line="440" w:lineRule="exact"/>
        <w:ind w:firstLine="482" w:firstLineChars="200"/>
        <w:textAlignment w:val="auto"/>
        <w:outlineLvl w:val="1"/>
        <w:rPr>
          <w:rFonts w:ascii="宋体" w:hAnsi="宋体" w:cs="宋体"/>
          <w:color w:val="auto"/>
          <w:kern w:val="0"/>
          <w:sz w:val="24"/>
          <w:szCs w:val="24"/>
        </w:rPr>
      </w:pPr>
      <w:bookmarkStart w:id="6" w:name="_Toc17164"/>
      <w:r>
        <w:rPr>
          <w:rFonts w:hint="eastAsia" w:ascii="宋体" w:hAnsi="宋体" w:cs="宋体"/>
          <w:color w:val="auto"/>
          <w:kern w:val="0"/>
          <w:sz w:val="24"/>
          <w:szCs w:val="24"/>
        </w:rPr>
        <w:t>三、评分细则</w:t>
      </w:r>
      <w:bookmarkEnd w:id="6"/>
    </w:p>
    <w:p w14:paraId="310BC39E">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课程总分100分。记满32学时且表现突出优秀者，课程得100分。凡有下列情况之一者，成绩为不及格：</w:t>
      </w:r>
    </w:p>
    <w:p w14:paraId="671E5E8A">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(1)课时累计达不到9个学时；</w:t>
      </w:r>
    </w:p>
    <w:p w14:paraId="6BBE6E96">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(2)课程成绩60分以下则视为不合格：</w:t>
      </w:r>
    </w:p>
    <w:p w14:paraId="340CF9A7">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(3)劳动态度不端正，不服从劳动安排：</w:t>
      </w:r>
    </w:p>
    <w:p w14:paraId="7B6D6E70">
      <w:pPr>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ascii="宋体" w:hAnsi="宋体" w:cs="宋体"/>
          <w:color w:val="auto"/>
          <w:sz w:val="24"/>
        </w:rPr>
      </w:pPr>
      <w:r>
        <w:rPr>
          <w:rFonts w:hint="eastAsia" w:ascii="宋体" w:hAnsi="宋体" w:cs="宋体"/>
          <w:color w:val="auto"/>
          <w:sz w:val="24"/>
        </w:rPr>
        <w:t>(4)学院认定的其他不及格情况。</w:t>
      </w:r>
    </w:p>
    <w:p w14:paraId="553C82BF">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bookmarkStart w:id="7" w:name="_Toc32317"/>
      <w:bookmarkStart w:id="8" w:name="_Toc9593"/>
      <w:r>
        <w:rPr>
          <w:rFonts w:hint="eastAsia" w:ascii="宋体" w:hAnsi="宋体" w:cs="宋体"/>
          <w:b/>
          <w:bCs/>
          <w:color w:val="auto"/>
          <w:sz w:val="24"/>
        </w:rPr>
        <w:t>表2《劳动教育》课程实践教学得分明细表</w:t>
      </w:r>
      <w:bookmarkEnd w:id="7"/>
      <w:bookmarkEnd w:id="8"/>
    </w:p>
    <w:tbl>
      <w:tblPr>
        <w:tblStyle w:val="5"/>
        <w:tblpPr w:leftFromText="180" w:rightFromText="180" w:vertAnchor="text" w:horzAnchor="page" w:tblpXSpec="center" w:tblpY="101"/>
        <w:tblOverlap w:val="never"/>
        <w:tblW w:w="9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03"/>
        <w:gridCol w:w="1305"/>
        <w:gridCol w:w="4388"/>
        <w:gridCol w:w="1410"/>
        <w:gridCol w:w="1138"/>
      </w:tblGrid>
      <w:tr w14:paraId="5F48E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2908" w:type="dxa"/>
            <w:gridSpan w:val="2"/>
          </w:tcPr>
          <w:p w14:paraId="7BA9D05D">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r>
              <w:rPr>
                <w:rFonts w:hint="eastAsia" w:ascii="宋体" w:hAnsi="宋体" w:cs="宋体"/>
                <w:b/>
                <w:bCs/>
                <w:color w:val="auto"/>
                <w:sz w:val="24"/>
              </w:rPr>
              <w:t>劳动内容</w:t>
            </w:r>
          </w:p>
        </w:tc>
        <w:tc>
          <w:tcPr>
            <w:tcW w:w="4388" w:type="dxa"/>
          </w:tcPr>
          <w:p w14:paraId="30EF6A34">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r>
              <w:rPr>
                <w:rFonts w:hint="eastAsia" w:ascii="宋体" w:hAnsi="宋体" w:cs="宋体"/>
                <w:b/>
                <w:bCs/>
                <w:color w:val="auto"/>
                <w:sz w:val="24"/>
              </w:rPr>
              <w:t>劳动次数</w:t>
            </w:r>
          </w:p>
        </w:tc>
        <w:tc>
          <w:tcPr>
            <w:tcW w:w="1410" w:type="dxa"/>
          </w:tcPr>
          <w:p w14:paraId="6C275683">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r>
              <w:rPr>
                <w:rFonts w:hint="eastAsia" w:ascii="宋体" w:hAnsi="宋体" w:cs="宋体"/>
                <w:b/>
                <w:bCs/>
                <w:color w:val="auto"/>
                <w:sz w:val="24"/>
              </w:rPr>
              <w:t>所获学时</w:t>
            </w:r>
          </w:p>
        </w:tc>
        <w:tc>
          <w:tcPr>
            <w:tcW w:w="1138" w:type="dxa"/>
          </w:tcPr>
          <w:p w14:paraId="38DDC540">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r>
              <w:rPr>
                <w:rFonts w:hint="eastAsia" w:ascii="宋体" w:hAnsi="宋体" w:cs="宋体"/>
                <w:b/>
                <w:bCs/>
                <w:color w:val="auto"/>
                <w:sz w:val="24"/>
              </w:rPr>
              <w:t>得分</w:t>
            </w:r>
          </w:p>
        </w:tc>
      </w:tr>
      <w:tr w14:paraId="7015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5" w:hRule="atLeast"/>
          <w:jc w:val="center"/>
        </w:trPr>
        <w:tc>
          <w:tcPr>
            <w:tcW w:w="1603" w:type="dxa"/>
            <w:vMerge w:val="restart"/>
            <w:vAlign w:val="center"/>
          </w:tcPr>
          <w:p w14:paraId="0E3B2F4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p w14:paraId="76F7DFD6">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21D3FBED">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义务劳动</w:t>
            </w:r>
          </w:p>
        </w:tc>
        <w:tc>
          <w:tcPr>
            <w:tcW w:w="1305" w:type="dxa"/>
            <w:vAlign w:val="center"/>
          </w:tcPr>
          <w:p w14:paraId="5377444D">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宿舍卫生清洁活动</w:t>
            </w:r>
          </w:p>
        </w:tc>
        <w:tc>
          <w:tcPr>
            <w:tcW w:w="4388" w:type="dxa"/>
            <w:vAlign w:val="center"/>
          </w:tcPr>
          <w:p w14:paraId="13DA1719">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完成每周1次宿舍卫生大扫除，且未被评为卫生不及格宿舍。</w:t>
            </w:r>
          </w:p>
        </w:tc>
        <w:tc>
          <w:tcPr>
            <w:tcW w:w="1410" w:type="dxa"/>
          </w:tcPr>
          <w:p w14:paraId="7CDCA03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5E7F35F5">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4 学时</w:t>
            </w:r>
          </w:p>
        </w:tc>
        <w:tc>
          <w:tcPr>
            <w:tcW w:w="1138" w:type="dxa"/>
          </w:tcPr>
          <w:p w14:paraId="07CE0831">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1BF321AE">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30 分</w:t>
            </w:r>
          </w:p>
        </w:tc>
      </w:tr>
      <w:tr w14:paraId="7C41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1603" w:type="dxa"/>
            <w:vMerge w:val="continue"/>
            <w:vAlign w:val="center"/>
          </w:tcPr>
          <w:p w14:paraId="32581C6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restart"/>
          </w:tcPr>
          <w:p w14:paraId="24E278C6">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63FD5BE1">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公共卫生</w:t>
            </w:r>
          </w:p>
          <w:p w14:paraId="41F63B56">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清洁</w:t>
            </w:r>
          </w:p>
        </w:tc>
        <w:tc>
          <w:tcPr>
            <w:tcW w:w="4388" w:type="dxa"/>
          </w:tcPr>
          <w:p w14:paraId="2E60E2EF">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 3 次及以上义务劳动</w:t>
            </w:r>
          </w:p>
        </w:tc>
        <w:tc>
          <w:tcPr>
            <w:tcW w:w="1410" w:type="dxa"/>
          </w:tcPr>
          <w:p w14:paraId="46BC989A">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4 学时</w:t>
            </w:r>
          </w:p>
        </w:tc>
        <w:tc>
          <w:tcPr>
            <w:tcW w:w="1138" w:type="dxa"/>
          </w:tcPr>
          <w:p w14:paraId="5B459E17">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30 分</w:t>
            </w:r>
          </w:p>
        </w:tc>
      </w:tr>
      <w:tr w14:paraId="6A084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603" w:type="dxa"/>
            <w:vMerge w:val="continue"/>
            <w:vAlign w:val="center"/>
          </w:tcPr>
          <w:p w14:paraId="491CB85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continue"/>
          </w:tcPr>
          <w:p w14:paraId="0F224BB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4388" w:type="dxa"/>
          </w:tcPr>
          <w:p w14:paraId="04C86CDB">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 2 次义务劳动</w:t>
            </w:r>
          </w:p>
        </w:tc>
        <w:tc>
          <w:tcPr>
            <w:tcW w:w="1410" w:type="dxa"/>
          </w:tcPr>
          <w:p w14:paraId="1717D859">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2 学时</w:t>
            </w:r>
          </w:p>
        </w:tc>
        <w:tc>
          <w:tcPr>
            <w:tcW w:w="1138" w:type="dxa"/>
          </w:tcPr>
          <w:p w14:paraId="549B9008">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15 分</w:t>
            </w:r>
          </w:p>
        </w:tc>
      </w:tr>
      <w:tr w14:paraId="2C3C7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603" w:type="dxa"/>
            <w:vMerge w:val="continue"/>
            <w:vAlign w:val="center"/>
          </w:tcPr>
          <w:p w14:paraId="15BB331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continue"/>
          </w:tcPr>
          <w:p w14:paraId="3A13AA5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4388" w:type="dxa"/>
          </w:tcPr>
          <w:p w14:paraId="166023E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 1 次义务劳动</w:t>
            </w:r>
          </w:p>
        </w:tc>
        <w:tc>
          <w:tcPr>
            <w:tcW w:w="1410" w:type="dxa"/>
          </w:tcPr>
          <w:p w14:paraId="3BC2B03E">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 学时</w:t>
            </w:r>
          </w:p>
        </w:tc>
        <w:tc>
          <w:tcPr>
            <w:tcW w:w="1138" w:type="dxa"/>
          </w:tcPr>
          <w:p w14:paraId="16BD168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10 分</w:t>
            </w:r>
          </w:p>
        </w:tc>
      </w:tr>
      <w:tr w14:paraId="16DD1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1603" w:type="dxa"/>
            <w:vMerge w:val="restart"/>
            <w:vAlign w:val="center"/>
          </w:tcPr>
          <w:p w14:paraId="79458CF2">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p w14:paraId="2C09604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p w14:paraId="49D7B61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志愿服务</w:t>
            </w:r>
          </w:p>
        </w:tc>
        <w:tc>
          <w:tcPr>
            <w:tcW w:w="1305" w:type="dxa"/>
            <w:vMerge w:val="restart"/>
          </w:tcPr>
          <w:p w14:paraId="0F70A12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p w14:paraId="6B7A78B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校内服务</w:t>
            </w:r>
          </w:p>
        </w:tc>
        <w:tc>
          <w:tcPr>
            <w:tcW w:w="4388" w:type="dxa"/>
          </w:tcPr>
          <w:p w14:paraId="6E1C4E68">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获得 40 个及以上志愿时</w:t>
            </w:r>
          </w:p>
        </w:tc>
        <w:tc>
          <w:tcPr>
            <w:tcW w:w="1410" w:type="dxa"/>
          </w:tcPr>
          <w:p w14:paraId="544A8710">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5 学时</w:t>
            </w:r>
          </w:p>
        </w:tc>
        <w:tc>
          <w:tcPr>
            <w:tcW w:w="1138" w:type="dxa"/>
          </w:tcPr>
          <w:p w14:paraId="07B97B65">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30 分</w:t>
            </w:r>
          </w:p>
        </w:tc>
      </w:tr>
      <w:tr w14:paraId="6B5B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1603" w:type="dxa"/>
            <w:vMerge w:val="continue"/>
            <w:vAlign w:val="center"/>
          </w:tcPr>
          <w:p w14:paraId="34B2110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continue"/>
          </w:tcPr>
          <w:p w14:paraId="75A9E48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4388" w:type="dxa"/>
          </w:tcPr>
          <w:p w14:paraId="34BDC864">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获得 20-39 个志愿时</w:t>
            </w:r>
          </w:p>
        </w:tc>
        <w:tc>
          <w:tcPr>
            <w:tcW w:w="1410" w:type="dxa"/>
          </w:tcPr>
          <w:p w14:paraId="7E36271F">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3 学时</w:t>
            </w:r>
          </w:p>
        </w:tc>
        <w:tc>
          <w:tcPr>
            <w:tcW w:w="1138" w:type="dxa"/>
          </w:tcPr>
          <w:p w14:paraId="2AEDB2B5">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20 分</w:t>
            </w:r>
          </w:p>
        </w:tc>
      </w:tr>
      <w:tr w14:paraId="6B658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603" w:type="dxa"/>
            <w:vMerge w:val="continue"/>
            <w:vAlign w:val="center"/>
          </w:tcPr>
          <w:p w14:paraId="0785FA1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continue"/>
          </w:tcPr>
          <w:p w14:paraId="3A337B1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4388" w:type="dxa"/>
          </w:tcPr>
          <w:p w14:paraId="11A4897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获得 19 个及以下志愿时</w:t>
            </w:r>
          </w:p>
        </w:tc>
        <w:tc>
          <w:tcPr>
            <w:tcW w:w="1410" w:type="dxa"/>
          </w:tcPr>
          <w:p w14:paraId="62155C88">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 学时</w:t>
            </w:r>
          </w:p>
        </w:tc>
        <w:tc>
          <w:tcPr>
            <w:tcW w:w="1138" w:type="dxa"/>
          </w:tcPr>
          <w:p w14:paraId="0A7FA682">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10 分</w:t>
            </w:r>
          </w:p>
        </w:tc>
      </w:tr>
      <w:tr w14:paraId="15897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1603" w:type="dxa"/>
            <w:vMerge w:val="continue"/>
            <w:vAlign w:val="center"/>
          </w:tcPr>
          <w:p w14:paraId="23BD524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restart"/>
          </w:tcPr>
          <w:p w14:paraId="4CB3C84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p w14:paraId="69785AA2">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校外服务</w:t>
            </w:r>
          </w:p>
        </w:tc>
        <w:tc>
          <w:tcPr>
            <w:tcW w:w="4388" w:type="dxa"/>
          </w:tcPr>
          <w:p w14:paraId="53E0D7D9">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获得 20 个及以上志愿时</w:t>
            </w:r>
          </w:p>
        </w:tc>
        <w:tc>
          <w:tcPr>
            <w:tcW w:w="1410" w:type="dxa"/>
          </w:tcPr>
          <w:p w14:paraId="568E9740">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3 学时</w:t>
            </w:r>
          </w:p>
        </w:tc>
        <w:tc>
          <w:tcPr>
            <w:tcW w:w="1138" w:type="dxa"/>
          </w:tcPr>
          <w:p w14:paraId="3EA6FAD0">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10 分</w:t>
            </w:r>
          </w:p>
        </w:tc>
      </w:tr>
      <w:tr w14:paraId="5AA65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1603" w:type="dxa"/>
            <w:vMerge w:val="continue"/>
            <w:vAlign w:val="center"/>
          </w:tcPr>
          <w:p w14:paraId="2E9CAF1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continue"/>
          </w:tcPr>
          <w:p w14:paraId="16A88EF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4388" w:type="dxa"/>
          </w:tcPr>
          <w:p w14:paraId="2552669E">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获得 10-19 个志愿时</w:t>
            </w:r>
          </w:p>
        </w:tc>
        <w:tc>
          <w:tcPr>
            <w:tcW w:w="1410" w:type="dxa"/>
          </w:tcPr>
          <w:p w14:paraId="2B458D11">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2 学时</w:t>
            </w:r>
          </w:p>
        </w:tc>
        <w:tc>
          <w:tcPr>
            <w:tcW w:w="1138" w:type="dxa"/>
          </w:tcPr>
          <w:p w14:paraId="2239D927">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7 分</w:t>
            </w:r>
          </w:p>
        </w:tc>
      </w:tr>
      <w:tr w14:paraId="360F8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603" w:type="dxa"/>
            <w:vMerge w:val="continue"/>
            <w:vAlign w:val="center"/>
          </w:tcPr>
          <w:p w14:paraId="5B7100EE">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1305" w:type="dxa"/>
            <w:vMerge w:val="continue"/>
          </w:tcPr>
          <w:p w14:paraId="2F30850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4388" w:type="dxa"/>
          </w:tcPr>
          <w:p w14:paraId="4FADA71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获得 9 个及以下志愿时</w:t>
            </w:r>
          </w:p>
        </w:tc>
        <w:tc>
          <w:tcPr>
            <w:tcW w:w="1410" w:type="dxa"/>
          </w:tcPr>
          <w:p w14:paraId="5BCEFD32">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l 学时</w:t>
            </w:r>
          </w:p>
        </w:tc>
        <w:tc>
          <w:tcPr>
            <w:tcW w:w="1138" w:type="dxa"/>
          </w:tcPr>
          <w:p w14:paraId="0542F794">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5 分</w:t>
            </w:r>
          </w:p>
        </w:tc>
      </w:tr>
      <w:tr w14:paraId="15417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603" w:type="dxa"/>
            <w:vMerge w:val="restart"/>
            <w:vAlign w:val="center"/>
          </w:tcPr>
          <w:p w14:paraId="09B38453">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实习实训活动</w:t>
            </w:r>
          </w:p>
        </w:tc>
        <w:tc>
          <w:tcPr>
            <w:tcW w:w="1305" w:type="dxa"/>
            <w:vMerge w:val="restart"/>
          </w:tcPr>
          <w:p w14:paraId="0BCE1FC3">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66C3BF1D">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校外实习</w:t>
            </w:r>
          </w:p>
          <w:p w14:paraId="07F5ABBB">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实训</w:t>
            </w:r>
          </w:p>
        </w:tc>
        <w:tc>
          <w:tcPr>
            <w:tcW w:w="4388" w:type="dxa"/>
          </w:tcPr>
          <w:p w14:paraId="3D6AA39D">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 3 次及以上校外实习实训</w:t>
            </w:r>
          </w:p>
        </w:tc>
        <w:tc>
          <w:tcPr>
            <w:tcW w:w="1410" w:type="dxa"/>
          </w:tcPr>
          <w:p w14:paraId="25C7F042">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4 学时</w:t>
            </w:r>
          </w:p>
        </w:tc>
        <w:tc>
          <w:tcPr>
            <w:tcW w:w="1138" w:type="dxa"/>
          </w:tcPr>
          <w:p w14:paraId="41F9F9D7">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30 分</w:t>
            </w:r>
          </w:p>
        </w:tc>
      </w:tr>
      <w:tr w14:paraId="31EBE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603" w:type="dxa"/>
            <w:vMerge w:val="continue"/>
          </w:tcPr>
          <w:p w14:paraId="1448DA67">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p>
        </w:tc>
        <w:tc>
          <w:tcPr>
            <w:tcW w:w="1305" w:type="dxa"/>
            <w:vMerge w:val="continue"/>
          </w:tcPr>
          <w:p w14:paraId="6D542236">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p>
        </w:tc>
        <w:tc>
          <w:tcPr>
            <w:tcW w:w="4388" w:type="dxa"/>
          </w:tcPr>
          <w:p w14:paraId="1047BE10">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 2 次校外实习实训动</w:t>
            </w:r>
          </w:p>
        </w:tc>
        <w:tc>
          <w:tcPr>
            <w:tcW w:w="1410" w:type="dxa"/>
          </w:tcPr>
          <w:p w14:paraId="099FA030">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2 学时</w:t>
            </w:r>
          </w:p>
        </w:tc>
        <w:tc>
          <w:tcPr>
            <w:tcW w:w="1138" w:type="dxa"/>
          </w:tcPr>
          <w:p w14:paraId="1ACF0278">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15 分</w:t>
            </w:r>
          </w:p>
        </w:tc>
      </w:tr>
      <w:tr w14:paraId="6988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603" w:type="dxa"/>
            <w:vMerge w:val="continue"/>
          </w:tcPr>
          <w:p w14:paraId="7062095F">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p>
        </w:tc>
        <w:tc>
          <w:tcPr>
            <w:tcW w:w="1305" w:type="dxa"/>
            <w:vMerge w:val="continue"/>
          </w:tcPr>
          <w:p w14:paraId="50A9C527">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p>
        </w:tc>
        <w:tc>
          <w:tcPr>
            <w:tcW w:w="4388" w:type="dxa"/>
          </w:tcPr>
          <w:p w14:paraId="3B9158D6">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完成 1 次校外实习实训</w:t>
            </w:r>
          </w:p>
        </w:tc>
        <w:tc>
          <w:tcPr>
            <w:tcW w:w="1410" w:type="dxa"/>
          </w:tcPr>
          <w:p w14:paraId="7E1FC27C">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 学时</w:t>
            </w:r>
          </w:p>
        </w:tc>
        <w:tc>
          <w:tcPr>
            <w:tcW w:w="1138" w:type="dxa"/>
          </w:tcPr>
          <w:p w14:paraId="495C5945">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10 分</w:t>
            </w:r>
          </w:p>
        </w:tc>
      </w:tr>
    </w:tbl>
    <w:p w14:paraId="0B31AC57">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center"/>
        <w:textAlignment w:val="auto"/>
        <w:outlineLvl w:val="1"/>
        <w:rPr>
          <w:rFonts w:ascii="宋体" w:hAnsi="宋体" w:cs="宋体"/>
          <w:b/>
          <w:bCs/>
          <w:color w:val="auto"/>
          <w:sz w:val="24"/>
        </w:rPr>
      </w:pPr>
    </w:p>
    <w:p w14:paraId="6A605E27">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b/>
          <w:bCs/>
          <w:color w:val="auto"/>
          <w:sz w:val="24"/>
        </w:rPr>
        <w:t>表2《劳动教育》课程实践教学扣分明细表</w:t>
      </w:r>
    </w:p>
    <w:tbl>
      <w:tblPr>
        <w:tblStyle w:val="5"/>
        <w:tblpPr w:leftFromText="180" w:rightFromText="180" w:vertAnchor="text" w:horzAnchor="page" w:tblpXSpec="center" w:tblpY="101"/>
        <w:tblOverlap w:val="never"/>
        <w:tblW w:w="8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94"/>
        <w:gridCol w:w="3894"/>
        <w:gridCol w:w="2535"/>
      </w:tblGrid>
      <w:tr w14:paraId="13B84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2194" w:type="dxa"/>
          </w:tcPr>
          <w:p w14:paraId="77740BB0">
            <w:pPr>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ascii="宋体" w:hAnsi="宋体" w:cs="宋体"/>
                <w:b/>
                <w:bCs/>
                <w:color w:val="auto"/>
                <w:sz w:val="24"/>
              </w:rPr>
            </w:pPr>
            <w:r>
              <w:rPr>
                <w:rFonts w:hint="eastAsia" w:ascii="宋体" w:hAnsi="宋体" w:cs="宋体"/>
                <w:b/>
                <w:bCs/>
                <w:color w:val="auto"/>
                <w:sz w:val="24"/>
              </w:rPr>
              <w:t>项目</w:t>
            </w:r>
          </w:p>
        </w:tc>
        <w:tc>
          <w:tcPr>
            <w:tcW w:w="3894" w:type="dxa"/>
          </w:tcPr>
          <w:p w14:paraId="3AB0A16A">
            <w:pPr>
              <w:pageBreakBefore w:val="0"/>
              <w:widowControl w:val="0"/>
              <w:kinsoku/>
              <w:wordWrap/>
              <w:overflowPunct/>
              <w:topLinePunct w:val="0"/>
              <w:autoSpaceDE/>
              <w:autoSpaceDN/>
              <w:bidi w:val="0"/>
              <w:adjustRightInd/>
              <w:snapToGrid/>
              <w:spacing w:line="440" w:lineRule="exact"/>
              <w:ind w:firstLine="723" w:firstLineChars="300"/>
              <w:textAlignment w:val="auto"/>
              <w:outlineLvl w:val="1"/>
              <w:rPr>
                <w:rFonts w:ascii="宋体" w:hAnsi="宋体" w:cs="宋体"/>
                <w:b/>
                <w:bCs/>
                <w:color w:val="auto"/>
                <w:sz w:val="24"/>
              </w:rPr>
            </w:pPr>
            <w:r>
              <w:rPr>
                <w:rFonts w:hint="eastAsia" w:ascii="宋体" w:hAnsi="宋体" w:cs="宋体"/>
                <w:b/>
                <w:bCs/>
                <w:color w:val="auto"/>
                <w:sz w:val="24"/>
              </w:rPr>
              <w:t>考核情况</w:t>
            </w:r>
          </w:p>
        </w:tc>
        <w:tc>
          <w:tcPr>
            <w:tcW w:w="2535" w:type="dxa"/>
          </w:tcPr>
          <w:p w14:paraId="0BEF7B52">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b/>
                <w:bCs/>
                <w:color w:val="auto"/>
                <w:sz w:val="24"/>
              </w:rPr>
            </w:pPr>
            <w:r>
              <w:rPr>
                <w:rFonts w:hint="eastAsia" w:ascii="宋体" w:hAnsi="宋体" w:cs="宋体"/>
                <w:b/>
                <w:bCs/>
                <w:color w:val="auto"/>
                <w:sz w:val="24"/>
              </w:rPr>
              <w:t>扣分</w:t>
            </w:r>
          </w:p>
        </w:tc>
      </w:tr>
      <w:tr w14:paraId="0043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1" w:hRule="atLeast"/>
          <w:jc w:val="center"/>
        </w:trPr>
        <w:tc>
          <w:tcPr>
            <w:tcW w:w="2194" w:type="dxa"/>
            <w:vMerge w:val="restart"/>
          </w:tcPr>
          <w:p w14:paraId="0CA473ED">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26D98DF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5DEF937E">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义务劳动</w:t>
            </w:r>
          </w:p>
        </w:tc>
        <w:tc>
          <w:tcPr>
            <w:tcW w:w="3894" w:type="dxa"/>
          </w:tcPr>
          <w:p w14:paraId="441891B5">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请假（需参加另行安排的劳动；因公或者不可抗力请假不扣分)</w:t>
            </w:r>
          </w:p>
        </w:tc>
        <w:tc>
          <w:tcPr>
            <w:tcW w:w="2535" w:type="dxa"/>
          </w:tcPr>
          <w:p w14:paraId="7434B1BF">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1AA314D0">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扣2分/人次</w:t>
            </w:r>
          </w:p>
        </w:tc>
      </w:tr>
      <w:tr w14:paraId="3C891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jc w:val="center"/>
        </w:trPr>
        <w:tc>
          <w:tcPr>
            <w:tcW w:w="2194" w:type="dxa"/>
            <w:vMerge w:val="continue"/>
          </w:tcPr>
          <w:p w14:paraId="53C04BCD">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tc>
        <w:tc>
          <w:tcPr>
            <w:tcW w:w="3894" w:type="dxa"/>
            <w:vAlign w:val="center"/>
          </w:tcPr>
          <w:p w14:paraId="12C6624A">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迟到、早退</w:t>
            </w:r>
          </w:p>
        </w:tc>
        <w:tc>
          <w:tcPr>
            <w:tcW w:w="2535" w:type="dxa"/>
            <w:vAlign w:val="center"/>
          </w:tcPr>
          <w:p w14:paraId="7F7E095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扣5分／人次</w:t>
            </w:r>
          </w:p>
        </w:tc>
      </w:tr>
      <w:tr w14:paraId="6EC36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2194" w:type="dxa"/>
            <w:vMerge w:val="continue"/>
          </w:tcPr>
          <w:p w14:paraId="49018DAA">
            <w:pPr>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3894" w:type="dxa"/>
          </w:tcPr>
          <w:p w14:paraId="0A971E1F">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无故缺勤</w:t>
            </w:r>
          </w:p>
        </w:tc>
        <w:tc>
          <w:tcPr>
            <w:tcW w:w="2535" w:type="dxa"/>
          </w:tcPr>
          <w:p w14:paraId="0C5A1CD1">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扣10分／人次</w:t>
            </w:r>
          </w:p>
        </w:tc>
      </w:tr>
      <w:tr w14:paraId="63BD2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jc w:val="center"/>
        </w:trPr>
        <w:tc>
          <w:tcPr>
            <w:tcW w:w="2194" w:type="dxa"/>
            <w:vMerge w:val="continue"/>
          </w:tcPr>
          <w:p w14:paraId="14DFC931">
            <w:pPr>
              <w:pageBreakBefore w:val="0"/>
              <w:widowControl w:val="0"/>
              <w:kinsoku/>
              <w:wordWrap/>
              <w:overflowPunct/>
              <w:topLinePunct w:val="0"/>
              <w:autoSpaceDE/>
              <w:autoSpaceDN/>
              <w:bidi w:val="0"/>
              <w:adjustRightInd/>
              <w:snapToGrid/>
              <w:spacing w:line="440" w:lineRule="exact"/>
              <w:ind w:firstLine="480" w:firstLineChars="200"/>
              <w:jc w:val="center"/>
              <w:textAlignment w:val="auto"/>
              <w:outlineLvl w:val="1"/>
              <w:rPr>
                <w:rFonts w:ascii="宋体" w:hAnsi="宋体" w:cs="宋体"/>
                <w:color w:val="auto"/>
                <w:sz w:val="24"/>
              </w:rPr>
            </w:pPr>
          </w:p>
        </w:tc>
        <w:tc>
          <w:tcPr>
            <w:tcW w:w="3894" w:type="dxa"/>
          </w:tcPr>
          <w:p w14:paraId="4AAA5259">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宿舍卫生评为不合格</w:t>
            </w:r>
          </w:p>
        </w:tc>
        <w:tc>
          <w:tcPr>
            <w:tcW w:w="2535" w:type="dxa"/>
          </w:tcPr>
          <w:p w14:paraId="010D9261">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扣 10分／人次</w:t>
            </w:r>
          </w:p>
        </w:tc>
      </w:tr>
      <w:tr w14:paraId="2A62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2194" w:type="dxa"/>
            <w:vMerge w:val="restart"/>
          </w:tcPr>
          <w:p w14:paraId="7C3534A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55FE3D88">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65763161">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其它</w:t>
            </w:r>
          </w:p>
        </w:tc>
        <w:tc>
          <w:tcPr>
            <w:tcW w:w="3894" w:type="dxa"/>
            <w:vAlign w:val="center"/>
          </w:tcPr>
          <w:p w14:paraId="7DBC3540">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劳动态度消极，对工作人员</w:t>
            </w:r>
          </w:p>
          <w:p w14:paraId="4D0EAC25">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或劳动工作持恶劣态度</w:t>
            </w:r>
          </w:p>
        </w:tc>
        <w:tc>
          <w:tcPr>
            <w:tcW w:w="2535" w:type="dxa"/>
            <w:vAlign w:val="center"/>
          </w:tcPr>
          <w:p w14:paraId="1042BEF4">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p>
          <w:p w14:paraId="2401FE3F">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扣5分／人次</w:t>
            </w:r>
          </w:p>
        </w:tc>
      </w:tr>
      <w:tr w14:paraId="44057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jc w:val="center"/>
        </w:trPr>
        <w:tc>
          <w:tcPr>
            <w:tcW w:w="2194" w:type="dxa"/>
            <w:vMerge w:val="continue"/>
          </w:tcPr>
          <w:p w14:paraId="29FB7C40">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p>
        </w:tc>
        <w:tc>
          <w:tcPr>
            <w:tcW w:w="3894" w:type="dxa"/>
          </w:tcPr>
          <w:p w14:paraId="381B1646">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恶意损坏劳动工具及破坏</w:t>
            </w:r>
          </w:p>
          <w:p w14:paraId="5E0C5083">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公物</w:t>
            </w:r>
          </w:p>
        </w:tc>
        <w:tc>
          <w:tcPr>
            <w:tcW w:w="2535" w:type="dxa"/>
          </w:tcPr>
          <w:p w14:paraId="78197841">
            <w:pPr>
              <w:pageBreakBefore w:val="0"/>
              <w:widowControl w:val="0"/>
              <w:kinsoku/>
              <w:wordWrap/>
              <w:overflowPunct/>
              <w:topLinePunct w:val="0"/>
              <w:autoSpaceDE/>
              <w:autoSpaceDN/>
              <w:bidi w:val="0"/>
              <w:adjustRightInd/>
              <w:snapToGrid/>
              <w:spacing w:line="440" w:lineRule="exact"/>
              <w:jc w:val="center"/>
              <w:textAlignment w:val="auto"/>
              <w:outlineLvl w:val="1"/>
              <w:rPr>
                <w:rFonts w:ascii="宋体" w:hAnsi="宋体" w:cs="宋体"/>
                <w:color w:val="auto"/>
                <w:sz w:val="24"/>
              </w:rPr>
            </w:pPr>
            <w:r>
              <w:rPr>
                <w:rFonts w:hint="eastAsia" w:ascii="宋体" w:hAnsi="宋体" w:cs="宋体"/>
                <w:color w:val="auto"/>
                <w:sz w:val="24"/>
              </w:rPr>
              <w:t>扣10分/人次，并照价赔偿,视情节严重性扣分</w:t>
            </w:r>
          </w:p>
        </w:tc>
      </w:tr>
    </w:tbl>
    <w:p w14:paraId="472CBA60">
      <w:pPr>
        <w:keepNext w:val="0"/>
        <w:keepLines w:val="0"/>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color w:val="auto"/>
          <w:sz w:val="24"/>
        </w:rPr>
      </w:pPr>
      <w:r>
        <w:rPr>
          <w:rFonts w:hint="eastAsia" w:ascii="宋体" w:hAnsi="宋体" w:cs="宋体"/>
          <w:color w:val="auto"/>
          <w:sz w:val="24"/>
        </w:rPr>
        <w:t>备注：被评为不及格宿舍次数超过2次的，自第3次开始扣分。</w:t>
      </w:r>
    </w:p>
    <w:p w14:paraId="2FF7633D">
      <w:pPr>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s="宋体"/>
          <w:b/>
          <w:color w:val="auto"/>
          <w:sz w:val="24"/>
        </w:rPr>
      </w:pPr>
    </w:p>
    <w:p w14:paraId="2CBA5DEF">
      <w:pPr>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bCs/>
          <w:color w:val="auto"/>
          <w:kern w:val="0"/>
          <w:sz w:val="24"/>
          <w:lang w:val="en"/>
        </w:rPr>
      </w:pPr>
    </w:p>
    <w:p w14:paraId="43C94A04">
      <w:pPr>
        <w:pStyle w:val="2"/>
        <w:pageBreakBefore w:val="0"/>
        <w:widowControl w:val="0"/>
        <w:kinsoku/>
        <w:wordWrap/>
        <w:overflowPunct/>
        <w:topLinePunct w:val="0"/>
        <w:autoSpaceDE/>
        <w:autoSpaceDN/>
        <w:bidi w:val="0"/>
        <w:adjustRightInd/>
        <w:snapToGrid/>
        <w:textAlignment w:val="auto"/>
        <w:outlineLvl w:val="1"/>
        <w:rPr>
          <w:rFonts w:ascii="宋体" w:hAnsi="宋体" w:cs="宋体"/>
          <w:bCs/>
          <w:color w:val="auto"/>
          <w:kern w:val="0"/>
          <w:sz w:val="24"/>
          <w:lang w:val="en"/>
        </w:rPr>
      </w:pPr>
    </w:p>
    <w:p w14:paraId="3570C860">
      <w:pPr>
        <w:pageBreakBefore w:val="0"/>
        <w:widowControl w:val="0"/>
        <w:kinsoku/>
        <w:wordWrap/>
        <w:overflowPunct/>
        <w:topLinePunct w:val="0"/>
        <w:autoSpaceDE/>
        <w:autoSpaceDN/>
        <w:bidi w:val="0"/>
        <w:adjustRightInd/>
        <w:snapToGrid/>
        <w:textAlignment w:val="auto"/>
        <w:outlineLvl w:val="1"/>
        <w:rPr>
          <w:rFonts w:ascii="宋体" w:hAnsi="宋体" w:cs="宋体"/>
          <w:bCs/>
          <w:color w:val="auto"/>
          <w:kern w:val="0"/>
          <w:sz w:val="24"/>
          <w:lang w:val="en"/>
        </w:rPr>
      </w:pPr>
    </w:p>
    <w:p w14:paraId="7B9FB1C8">
      <w:pPr>
        <w:pStyle w:val="2"/>
        <w:pageBreakBefore w:val="0"/>
        <w:widowControl w:val="0"/>
        <w:kinsoku/>
        <w:wordWrap/>
        <w:overflowPunct/>
        <w:topLinePunct w:val="0"/>
        <w:autoSpaceDE/>
        <w:autoSpaceDN/>
        <w:bidi w:val="0"/>
        <w:adjustRightInd/>
        <w:snapToGrid/>
        <w:textAlignment w:val="auto"/>
        <w:outlineLvl w:val="1"/>
        <w:rPr>
          <w:rFonts w:ascii="宋体" w:hAnsi="宋体" w:cs="宋体"/>
          <w:bCs/>
          <w:color w:val="auto"/>
          <w:kern w:val="0"/>
          <w:sz w:val="24"/>
          <w:lang w:val="en"/>
        </w:rPr>
      </w:pPr>
    </w:p>
    <w:p w14:paraId="7348B8D6">
      <w:pPr>
        <w:pageBreakBefore w:val="0"/>
        <w:widowControl w:val="0"/>
        <w:kinsoku/>
        <w:wordWrap/>
        <w:overflowPunct/>
        <w:topLinePunct w:val="0"/>
        <w:autoSpaceDE/>
        <w:autoSpaceDN/>
        <w:bidi w:val="0"/>
        <w:adjustRightInd/>
        <w:snapToGrid/>
        <w:textAlignment w:val="auto"/>
        <w:outlineLvl w:val="1"/>
        <w:rPr>
          <w:rFonts w:ascii="宋体" w:hAnsi="宋体" w:cs="宋体"/>
          <w:bCs/>
          <w:color w:val="auto"/>
          <w:kern w:val="0"/>
          <w:sz w:val="24"/>
          <w:lang w:val="en"/>
        </w:rPr>
      </w:pPr>
    </w:p>
    <w:p w14:paraId="67AAC9A6">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